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F88DA" w14:textId="77777777" w:rsidR="00782613" w:rsidRPr="00BB534C" w:rsidRDefault="00782613" w:rsidP="00782613">
      <w:pPr>
        <w:pStyle w:val="3GPPHeader"/>
        <w:spacing w:after="60"/>
        <w:rPr>
          <w:sz w:val="32"/>
          <w:szCs w:val="32"/>
        </w:rPr>
      </w:pPr>
      <w:bookmarkStart w:id="0" w:name="_GoBack"/>
      <w:bookmarkEnd w:id="0"/>
      <w:r w:rsidRPr="00BB534C">
        <w:t xml:space="preserve">3GPP TSG-RAN WG1 </w:t>
      </w:r>
      <w:r>
        <w:t xml:space="preserve">Meeting </w:t>
      </w:r>
      <w:r w:rsidRPr="00BB534C">
        <w:t>#</w:t>
      </w:r>
      <w:r>
        <w:t>88</w:t>
      </w:r>
      <w:r w:rsidRPr="00BB534C">
        <w:tab/>
      </w:r>
      <w:r w:rsidRPr="00BB534C">
        <w:rPr>
          <w:sz w:val="32"/>
          <w:szCs w:val="32"/>
        </w:rPr>
        <w:t>Tdoc R1-1</w:t>
      </w:r>
      <w:r>
        <w:rPr>
          <w:sz w:val="32"/>
          <w:szCs w:val="32"/>
        </w:rPr>
        <w:t>701991</w:t>
      </w:r>
    </w:p>
    <w:p w14:paraId="00E1FEB9" w14:textId="77777777" w:rsidR="00782613" w:rsidRDefault="00782613" w:rsidP="00782613">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AE0C21">
        <w:rPr>
          <w:b/>
          <w:noProof/>
          <w:sz w:val="24"/>
          <w:vertAlign w:val="superscript"/>
        </w:rPr>
        <w:t>th</w:t>
      </w:r>
      <w:r>
        <w:rPr>
          <w:b/>
          <w:noProof/>
          <w:sz w:val="24"/>
        </w:rPr>
        <w:t xml:space="preserve"> – 17</w:t>
      </w:r>
      <w:r w:rsidRPr="00AE0C21">
        <w:rPr>
          <w:b/>
          <w:noProof/>
          <w:sz w:val="24"/>
          <w:vertAlign w:val="superscript"/>
        </w:rPr>
        <w:t>th</w:t>
      </w:r>
      <w:r>
        <w:rPr>
          <w:b/>
          <w:noProof/>
          <w:sz w:val="24"/>
        </w:rPr>
        <w:t xml:space="preserve"> February 2017</w:t>
      </w:r>
    </w:p>
    <w:p w14:paraId="78F5A57E" w14:textId="77777777" w:rsidR="00782613" w:rsidRPr="00CE0424" w:rsidRDefault="00782613" w:rsidP="00782613">
      <w:pPr>
        <w:pStyle w:val="3GPPHeader"/>
      </w:pPr>
    </w:p>
    <w:p w14:paraId="02DACC03" w14:textId="77777777" w:rsidR="00782613" w:rsidRPr="00782613" w:rsidRDefault="00782613" w:rsidP="00782613">
      <w:pPr>
        <w:pStyle w:val="3GPPHeader"/>
        <w:rPr>
          <w:sz w:val="22"/>
          <w:szCs w:val="22"/>
          <w:lang w:val="en-US"/>
        </w:rPr>
      </w:pPr>
      <w:r w:rsidRPr="00782613">
        <w:rPr>
          <w:sz w:val="22"/>
          <w:szCs w:val="22"/>
          <w:lang w:val="en-US"/>
        </w:rPr>
        <w:t>Agenda Item:</w:t>
      </w:r>
      <w:r w:rsidRPr="00782613">
        <w:rPr>
          <w:sz w:val="22"/>
          <w:szCs w:val="22"/>
          <w:lang w:val="en-US"/>
        </w:rPr>
        <w:tab/>
        <w:t>7.2.3.3</w:t>
      </w:r>
    </w:p>
    <w:p w14:paraId="1ED14A10" w14:textId="77777777" w:rsidR="00782613" w:rsidRPr="00CE0424" w:rsidRDefault="00782613" w:rsidP="00782613">
      <w:pPr>
        <w:pStyle w:val="3GPPHeader"/>
        <w:rPr>
          <w:sz w:val="22"/>
          <w:szCs w:val="22"/>
        </w:rPr>
      </w:pPr>
      <w:r>
        <w:rPr>
          <w:sz w:val="22"/>
          <w:szCs w:val="22"/>
        </w:rPr>
        <w:t>Source:</w:t>
      </w:r>
      <w:r w:rsidRPr="00CE0424">
        <w:rPr>
          <w:sz w:val="22"/>
          <w:szCs w:val="22"/>
        </w:rPr>
        <w:tab/>
        <w:t>Ericsson</w:t>
      </w:r>
    </w:p>
    <w:p w14:paraId="5E12F96A" w14:textId="77777777" w:rsidR="00782613" w:rsidRPr="00CE0424" w:rsidRDefault="00782613" w:rsidP="00782613">
      <w:pPr>
        <w:pStyle w:val="3GPPHeader"/>
        <w:rPr>
          <w:sz w:val="22"/>
          <w:szCs w:val="22"/>
        </w:rPr>
      </w:pPr>
      <w:r>
        <w:rPr>
          <w:sz w:val="22"/>
          <w:szCs w:val="22"/>
        </w:rPr>
        <w:t>Title:</w:t>
      </w:r>
      <w:r w:rsidRPr="00CE0424">
        <w:rPr>
          <w:sz w:val="22"/>
          <w:szCs w:val="22"/>
        </w:rPr>
        <w:tab/>
      </w:r>
      <w:r w:rsidRPr="00C17684">
        <w:rPr>
          <w:sz w:val="22"/>
          <w:szCs w:val="22"/>
        </w:rPr>
        <w:t>Remaining details of OTDOA enhancements for FeMTC</w:t>
      </w:r>
    </w:p>
    <w:p w14:paraId="63099D01" w14:textId="77B48758" w:rsidR="00782613" w:rsidRPr="00782613" w:rsidRDefault="00782613" w:rsidP="00782613">
      <w:pPr>
        <w:pStyle w:val="3GPPHeader"/>
        <w:rPr>
          <w:sz w:val="22"/>
          <w:szCs w:val="22"/>
        </w:rPr>
      </w:pPr>
      <w:r w:rsidRPr="00BB534C">
        <w:rPr>
          <w:sz w:val="22"/>
          <w:szCs w:val="22"/>
        </w:rPr>
        <w:t>Document for:</w:t>
      </w:r>
      <w:r w:rsidRPr="00BB534C">
        <w:rPr>
          <w:sz w:val="22"/>
          <w:szCs w:val="22"/>
        </w:rPr>
        <w:tab/>
        <w:t>Discussion, Decision</w:t>
      </w:r>
    </w:p>
    <w:p w14:paraId="130780DC" w14:textId="7A85D5FF" w:rsidR="00A675B4" w:rsidRPr="0083336C" w:rsidRDefault="00D13E68" w:rsidP="0083336C">
      <w:pPr>
        <w:pStyle w:val="3GPPHeader"/>
        <w:rPr>
          <w:rFonts w:cs="Arial"/>
          <w:b w:val="0"/>
          <w:bCs/>
          <w:sz w:val="22"/>
          <w:lang w:val="en-US"/>
        </w:rPr>
      </w:pPr>
      <w:r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6F9FE6F6" w14:textId="030D2CDC" w:rsidR="0076279C" w:rsidRPr="005A5F02" w:rsidRDefault="0076279C" w:rsidP="0076279C">
      <w:pPr>
        <w:rPr>
          <w:rFonts w:cs="Arial"/>
          <w:lang w:val="en-US"/>
        </w:rPr>
      </w:pPr>
      <w:r w:rsidRPr="005A5F02">
        <w:rPr>
          <w:rFonts w:cs="Arial"/>
          <w:lang w:val="en-US"/>
        </w:rPr>
        <w:t>LTE Rel-13 introduced improved support for machine-type communications (MTC) in the form of bandwidth-reduced low-complexity and coverage enhanced (BL/CE) UEs. One objective of the Rel-14 WI on Further Enhanced MTC</w:t>
      </w:r>
      <w:r w:rsidR="00040FA2">
        <w:rPr>
          <w:rFonts w:cs="Arial"/>
          <w:lang w:val="en-US"/>
        </w:rPr>
        <w:t xml:space="preserve"> (FeMTC)</w:t>
      </w:r>
      <w:r w:rsidRPr="005A5F02">
        <w:rPr>
          <w:rFonts w:cs="Arial"/>
          <w:lang w:val="en-US"/>
        </w:rPr>
        <w:t xml:space="preserve"> is to specify the following for </w:t>
      </w:r>
      <w:r w:rsidR="00B00F66" w:rsidRPr="005A5F02">
        <w:rPr>
          <w:rFonts w:cs="Arial"/>
          <w:lang w:val="en-US"/>
        </w:rPr>
        <w:t>OTDOA positioning</w:t>
      </w:r>
      <w:r w:rsidRPr="005A5F02">
        <w:rPr>
          <w:rFonts w:cs="Arial"/>
          <w:lang w:val="en-US"/>
        </w:rPr>
        <w:t xml:space="preserve"> support for BL/CE UEs</w:t>
      </w:r>
      <w:r w:rsidR="004C55AC" w:rsidRPr="005A5F02">
        <w:rPr>
          <w:rFonts w:cs="Arial"/>
          <w:lang w:val="en-US"/>
        </w:rPr>
        <w:t xml:space="preserve"> </w:t>
      </w:r>
      <w:r w:rsidR="004C55AC" w:rsidRPr="005A5F02">
        <w:rPr>
          <w:rFonts w:cs="Arial"/>
          <w:lang w:val="en-US"/>
        </w:rPr>
        <w:fldChar w:fldCharType="begin"/>
      </w:r>
      <w:r w:rsidR="004C55AC" w:rsidRPr="005A5F02">
        <w:rPr>
          <w:rFonts w:cs="Arial"/>
          <w:lang w:val="en-US"/>
        </w:rPr>
        <w:instrText xml:space="preserve"> REF _Ref174151459 \r \h </w:instrText>
      </w:r>
      <w:r w:rsidR="005A5F02">
        <w:rPr>
          <w:rFonts w:cs="Arial"/>
          <w:lang w:val="en-US"/>
        </w:rPr>
        <w:instrText xml:space="preserve"> \* MERGEFORMAT </w:instrText>
      </w:r>
      <w:r w:rsidR="004C55AC" w:rsidRPr="005A5F02">
        <w:rPr>
          <w:rFonts w:cs="Arial"/>
          <w:lang w:val="en-US"/>
        </w:rPr>
      </w:r>
      <w:r w:rsidR="004C55AC" w:rsidRPr="005A5F02">
        <w:rPr>
          <w:rFonts w:cs="Arial"/>
          <w:lang w:val="en-US"/>
        </w:rPr>
        <w:fldChar w:fldCharType="separate"/>
      </w:r>
      <w:r w:rsidR="00782613">
        <w:rPr>
          <w:rFonts w:cs="Arial"/>
          <w:lang w:val="en-US"/>
        </w:rPr>
        <w:t>[1]</w:t>
      </w:r>
      <w:r w:rsidR="004C55AC" w:rsidRPr="005A5F02">
        <w:rPr>
          <w:rFonts w:cs="Arial"/>
          <w:lang w:val="en-US"/>
        </w:rPr>
        <w:fldChar w:fldCharType="end"/>
      </w:r>
      <w:r w:rsidRPr="005A5F02">
        <w:rPr>
          <w:rFonts w:cs="Arial"/>
          <w:lang w:val="en-US"/>
        </w:rPr>
        <w:t>:</w:t>
      </w:r>
    </w:p>
    <w:p w14:paraId="15852158" w14:textId="78102037" w:rsidR="00B00F66" w:rsidRPr="005A5F02" w:rsidRDefault="00B00F66" w:rsidP="005A5F02">
      <w:pPr>
        <w:pStyle w:val="ListParagraph"/>
        <w:numPr>
          <w:ilvl w:val="0"/>
          <w:numId w:val="38"/>
        </w:numPr>
        <w:rPr>
          <w:rFonts w:cs="Arial"/>
          <w:lang w:val="en-US"/>
        </w:rPr>
      </w:pPr>
      <w:r w:rsidRPr="005A5F02">
        <w:rPr>
          <w:rFonts w:cs="Arial"/>
          <w:lang w:val="en-US"/>
        </w:rPr>
        <w:t xml:space="preserve">OTDOA: core requirements </w:t>
      </w:r>
    </w:p>
    <w:p w14:paraId="6BB14039" w14:textId="155AFADA" w:rsidR="00B00F66" w:rsidRPr="005A5F02" w:rsidRDefault="00B00F66" w:rsidP="005A5F02">
      <w:pPr>
        <w:pStyle w:val="ListParagraph"/>
        <w:numPr>
          <w:ilvl w:val="0"/>
          <w:numId w:val="38"/>
        </w:numPr>
        <w:rPr>
          <w:rFonts w:cs="Arial"/>
          <w:lang w:val="en-US"/>
        </w:rPr>
      </w:pPr>
      <w:r w:rsidRPr="005A5F02">
        <w:rPr>
          <w:rFonts w:cs="Arial"/>
          <w:lang w:val="en-US"/>
        </w:rPr>
        <w:t>OTDOA: consider improvements of accuracy, UE complexity and power consumption for OTDOA</w:t>
      </w:r>
    </w:p>
    <w:p w14:paraId="07DCA1FC" w14:textId="0FBB327F" w:rsidR="0076279C" w:rsidRPr="005A5F02" w:rsidRDefault="00B00F66" w:rsidP="0076279C">
      <w:pPr>
        <w:rPr>
          <w:rFonts w:cs="Arial"/>
          <w:lang w:val="en-US"/>
        </w:rPr>
      </w:pPr>
      <w:r w:rsidRPr="005A5F02">
        <w:rPr>
          <w:rFonts w:cs="Arial"/>
          <w:lang w:val="en-US"/>
        </w:rPr>
        <w:t xml:space="preserve"> </w:t>
      </w:r>
      <w:r w:rsidR="005A5F02" w:rsidRPr="005A5F02">
        <w:rPr>
          <w:rFonts w:cs="Arial"/>
          <w:lang w:val="en-US"/>
        </w:rPr>
        <w:t>In RAN1#86bis</w:t>
      </w:r>
      <w:r w:rsidR="00501BD7">
        <w:rPr>
          <w:rFonts w:cs="Arial"/>
          <w:lang w:val="en-US"/>
        </w:rPr>
        <w:t xml:space="preserve"> and RAN1#87</w:t>
      </w:r>
      <w:r w:rsidR="005A5F02" w:rsidRPr="005A5F02">
        <w:rPr>
          <w:rFonts w:cs="Arial"/>
          <w:lang w:val="en-US"/>
        </w:rPr>
        <w:t xml:space="preserve">, </w:t>
      </w:r>
      <w:r w:rsidR="00501BD7">
        <w:rPr>
          <w:rFonts w:cs="Arial"/>
          <w:lang w:val="en-US"/>
        </w:rPr>
        <w:t xml:space="preserve">many </w:t>
      </w:r>
      <w:r w:rsidR="00A1092C">
        <w:rPr>
          <w:rFonts w:cs="Arial"/>
          <w:lang w:val="en-US"/>
        </w:rPr>
        <w:t xml:space="preserve">agreements have been achieved. </w:t>
      </w:r>
      <w:r w:rsidR="005A5F02" w:rsidRPr="005A5F02">
        <w:rPr>
          <w:rFonts w:cs="Arial"/>
          <w:lang w:val="en-US"/>
        </w:rPr>
        <w:t xml:space="preserve">In this contribution, we discuss </w:t>
      </w:r>
      <w:r w:rsidR="00A1092C">
        <w:rPr>
          <w:rFonts w:cs="Arial"/>
          <w:lang w:val="en-US"/>
        </w:rPr>
        <w:t>the remaining issues of OTDOA enhancements</w:t>
      </w:r>
      <w:r w:rsidR="00711C9D" w:rsidRPr="00711C9D">
        <w:rPr>
          <w:rFonts w:cs="Arial"/>
          <w:lang w:val="en-US"/>
        </w:rPr>
        <w:t xml:space="preserve"> for FeMTC</w:t>
      </w:r>
      <w:r w:rsidR="005A5F02" w:rsidRPr="005A5F02">
        <w:rPr>
          <w:rFonts w:cs="Arial"/>
          <w:lang w:val="en-US"/>
        </w:rPr>
        <w:t>.</w:t>
      </w:r>
    </w:p>
    <w:p w14:paraId="5A956A3D" w14:textId="49F48EA8" w:rsidR="0072236D" w:rsidRDefault="00C2598B" w:rsidP="001726E9">
      <w:pPr>
        <w:pStyle w:val="Heading1"/>
      </w:pPr>
      <w:r>
        <w:t>Discussion</w:t>
      </w:r>
    </w:p>
    <w:p w14:paraId="4611A81C" w14:textId="1FDB6FFC" w:rsidR="00951405" w:rsidRPr="00951405" w:rsidRDefault="00951405" w:rsidP="00951405">
      <w:pPr>
        <w:pStyle w:val="Heading2"/>
      </w:pPr>
      <w:r>
        <w:t xml:space="preserve">Optional </w:t>
      </w:r>
      <w:r w:rsidR="00227C4E">
        <w:t>f</w:t>
      </w:r>
      <w:r>
        <w:t>iner</w:t>
      </w:r>
      <w:r w:rsidR="00B12FCA">
        <w:t xml:space="preserve"> PRS</w:t>
      </w:r>
      <w:r>
        <w:t xml:space="preserve"> </w:t>
      </w:r>
      <w:r w:rsidR="00227C4E">
        <w:t>m</w:t>
      </w:r>
      <w:r w:rsidR="00A5126B">
        <w:t>uting</w:t>
      </w:r>
    </w:p>
    <w:p w14:paraId="0E33CC18" w14:textId="7C1B67F2" w:rsidR="007B0299" w:rsidRDefault="00084628" w:rsidP="00525203">
      <w:pPr>
        <w:rPr>
          <w:rFonts w:eastAsia="MS Mincho"/>
          <w:iCs/>
          <w:lang w:val="en-US" w:eastAsia="ja-JP"/>
        </w:rPr>
      </w:pPr>
      <w:r w:rsidRPr="00084628">
        <w:t xml:space="preserve">In RAN1#87, </w:t>
      </w:r>
      <w:r>
        <w:t xml:space="preserve">it was agreed to </w:t>
      </w:r>
      <w:r>
        <w:rPr>
          <w:rFonts w:eastAsia="MS Mincho"/>
          <w:iCs/>
          <w:lang w:val="en-US" w:eastAsia="ja-JP"/>
        </w:rPr>
        <w:t>r</w:t>
      </w:r>
      <w:r w:rsidRPr="0091735E">
        <w:rPr>
          <w:rFonts w:eastAsia="MS Mincho"/>
          <w:iCs/>
          <w:lang w:val="en-US" w:eastAsia="ja-JP"/>
        </w:rPr>
        <w:t>euse LTE PRS muting mechanism</w:t>
      </w:r>
      <w:r>
        <w:rPr>
          <w:rFonts w:eastAsia="MS Mincho"/>
          <w:iCs/>
          <w:lang w:val="en-US" w:eastAsia="ja-JP"/>
        </w:rPr>
        <w:t xml:space="preserve"> for</w:t>
      </w:r>
      <w:r w:rsidRPr="00084628">
        <w:rPr>
          <w:rFonts w:cs="Arial"/>
          <w:lang w:val="en-US"/>
        </w:rPr>
        <w:t xml:space="preserve"> </w:t>
      </w:r>
      <w:r>
        <w:rPr>
          <w:rFonts w:cs="Arial"/>
          <w:lang w:val="en-US"/>
        </w:rPr>
        <w:t>OTDOA enhancements</w:t>
      </w:r>
      <w:r w:rsidRPr="00711C9D">
        <w:rPr>
          <w:rFonts w:cs="Arial"/>
          <w:lang w:val="en-US"/>
        </w:rPr>
        <w:t xml:space="preserve"> for FeMTC</w:t>
      </w:r>
      <w:r w:rsidRPr="0091735E">
        <w:rPr>
          <w:rFonts w:eastAsia="MS Mincho"/>
          <w:iCs/>
          <w:lang w:val="en-US" w:eastAsia="ja-JP"/>
        </w:rPr>
        <w:t xml:space="preserve"> with a bit string of {2, 4, 8, 16} bits, with each bit applied to one legacy PRS period</w:t>
      </w:r>
      <w:r>
        <w:rPr>
          <w:rFonts w:eastAsia="MS Mincho"/>
          <w:iCs/>
          <w:lang w:val="en-US" w:eastAsia="ja-JP"/>
        </w:rPr>
        <w:t xml:space="preserve">. </w:t>
      </w:r>
      <w:r>
        <w:t>It is for further study that whether a</w:t>
      </w:r>
      <w:r w:rsidRPr="00D36949">
        <w:rPr>
          <w:rFonts w:eastAsia="MS Mincho"/>
          <w:iCs/>
          <w:lang w:val="en-US" w:eastAsia="ja-JP"/>
        </w:rPr>
        <w:t>n o</w:t>
      </w:r>
      <w:r>
        <w:rPr>
          <w:rFonts w:eastAsia="MS Mincho"/>
          <w:iCs/>
          <w:lang w:val="en-US" w:eastAsia="ja-JP"/>
        </w:rPr>
        <w:t>ptional finer muting pattern should</w:t>
      </w:r>
      <w:r w:rsidRPr="00D36949">
        <w:rPr>
          <w:rFonts w:eastAsia="MS Mincho"/>
          <w:iCs/>
          <w:lang w:val="en-US" w:eastAsia="ja-JP"/>
        </w:rPr>
        <w:t xml:space="preserve"> be applied to PRS occasions in a legacy PRS period</w:t>
      </w:r>
      <w:r>
        <w:rPr>
          <w:rFonts w:eastAsia="MS Mincho"/>
          <w:iCs/>
          <w:lang w:val="en-US" w:eastAsia="ja-JP"/>
        </w:rPr>
        <w:t xml:space="preserve">. The introduction of finer muting pattern might further facilitate the coordination of PRS transmissions across cells. </w:t>
      </w:r>
      <w:r w:rsidR="00450911">
        <w:rPr>
          <w:rFonts w:eastAsia="MS Mincho"/>
          <w:iCs/>
          <w:lang w:val="en-US" w:eastAsia="ja-JP"/>
        </w:rPr>
        <w:t xml:space="preserve">However, according to the </w:t>
      </w:r>
      <w:r w:rsidR="00450911" w:rsidRPr="005A5F02">
        <w:rPr>
          <w:rFonts w:cs="Arial"/>
          <w:lang w:val="en-US"/>
        </w:rPr>
        <w:t>RAN1#86bis</w:t>
      </w:r>
      <w:r w:rsidR="007B0299">
        <w:rPr>
          <w:rFonts w:cs="Arial"/>
          <w:lang w:val="en-US"/>
        </w:rPr>
        <w:t xml:space="preserve"> agreement, </w:t>
      </w:r>
      <w:r w:rsidR="00450911">
        <w:rPr>
          <w:rFonts w:cs="Arial"/>
          <w:lang w:val="en-US"/>
        </w:rPr>
        <w:t>“</w:t>
      </w:r>
      <w:r w:rsidR="00450911" w:rsidRPr="00450911">
        <w:rPr>
          <w:rFonts w:eastAsia="MS Mincho"/>
          <w:i/>
          <w:iCs/>
          <w:lang w:val="en-US" w:eastAsia="ja-JP"/>
        </w:rPr>
        <w:t>For Rel-14 feMTC OTDOA positioning reference signal, enhancements to the legacy LTE PRS patterns and sequences can be considered but need to be justified by significant performance improvement compared to legacy</w:t>
      </w:r>
      <w:r w:rsidR="007B0299">
        <w:rPr>
          <w:rFonts w:eastAsia="MS Mincho"/>
          <w:i/>
          <w:iCs/>
          <w:lang w:val="en-US" w:eastAsia="ja-JP"/>
        </w:rPr>
        <w:t>.</w:t>
      </w:r>
      <w:r w:rsidR="00450911">
        <w:rPr>
          <w:rFonts w:eastAsia="MS Mincho"/>
          <w:iCs/>
          <w:lang w:val="en-US" w:eastAsia="ja-JP"/>
        </w:rPr>
        <w:t xml:space="preserve">” </w:t>
      </w:r>
      <w:r w:rsidR="007B0299">
        <w:rPr>
          <w:rFonts w:eastAsia="MS Mincho"/>
          <w:iCs/>
          <w:lang w:val="en-US" w:eastAsia="ja-JP"/>
        </w:rPr>
        <w:t xml:space="preserve">Thus far, </w:t>
      </w:r>
      <w:r w:rsidR="00450911">
        <w:rPr>
          <w:rFonts w:eastAsia="MS Mincho"/>
          <w:iCs/>
          <w:lang w:val="en-US" w:eastAsia="ja-JP"/>
        </w:rPr>
        <w:t>there are no results showing the gains of introducing a finer muting pattern</w:t>
      </w:r>
      <w:r w:rsidR="007B0299">
        <w:rPr>
          <w:rFonts w:eastAsia="MS Mincho"/>
          <w:iCs/>
          <w:lang w:val="en-US" w:eastAsia="ja-JP"/>
        </w:rPr>
        <w:t xml:space="preserve">, while LTE OTDOA has functioned well with the existing PRS muting mechanism. Therefore, we do not see the necessity of introducing </w:t>
      </w:r>
      <w:r w:rsidR="007B0299">
        <w:t>the</w:t>
      </w:r>
      <w:r w:rsidR="007B0299" w:rsidRPr="00D36949">
        <w:rPr>
          <w:rFonts w:eastAsia="MS Mincho"/>
          <w:iCs/>
          <w:lang w:val="en-US" w:eastAsia="ja-JP"/>
        </w:rPr>
        <w:t xml:space="preserve"> o</w:t>
      </w:r>
      <w:r w:rsidR="007B0299">
        <w:rPr>
          <w:rFonts w:eastAsia="MS Mincho"/>
          <w:iCs/>
          <w:lang w:val="en-US" w:eastAsia="ja-JP"/>
        </w:rPr>
        <w:t>ptional finer muting pattern. Considering further that RAN1#88 is the last scheduled</w:t>
      </w:r>
      <w:r w:rsidR="00951405">
        <w:rPr>
          <w:rFonts w:eastAsia="MS Mincho"/>
          <w:iCs/>
          <w:lang w:val="en-US" w:eastAsia="ja-JP"/>
        </w:rPr>
        <w:t xml:space="preserve"> meeting in Rel-</w:t>
      </w:r>
      <w:r w:rsidR="007B0299">
        <w:rPr>
          <w:rFonts w:eastAsia="MS Mincho"/>
          <w:iCs/>
          <w:lang w:val="en-US" w:eastAsia="ja-JP"/>
        </w:rPr>
        <w:t xml:space="preserve">14 and there are other more important issues, we propose that RAN1 </w:t>
      </w:r>
      <w:r w:rsidR="00951405">
        <w:rPr>
          <w:rFonts w:eastAsia="MS Mincho"/>
          <w:iCs/>
          <w:lang w:val="en-US" w:eastAsia="ja-JP"/>
        </w:rPr>
        <w:t xml:space="preserve">stops considering introducing </w:t>
      </w:r>
      <w:r w:rsidR="00951405">
        <w:t>a</w:t>
      </w:r>
      <w:r w:rsidR="00951405" w:rsidRPr="00D36949">
        <w:rPr>
          <w:rFonts w:eastAsia="MS Mincho"/>
          <w:iCs/>
          <w:lang w:val="en-US" w:eastAsia="ja-JP"/>
        </w:rPr>
        <w:t>n o</w:t>
      </w:r>
      <w:r w:rsidR="00951405">
        <w:rPr>
          <w:rFonts w:eastAsia="MS Mincho"/>
          <w:iCs/>
          <w:lang w:val="en-US" w:eastAsia="ja-JP"/>
        </w:rPr>
        <w:t xml:space="preserve">ptional finer muting pattern in </w:t>
      </w:r>
      <w:r w:rsidR="00951405">
        <w:rPr>
          <w:rFonts w:cs="Arial"/>
          <w:lang w:val="en-US"/>
        </w:rPr>
        <w:t>OTDOA enhancements</w:t>
      </w:r>
      <w:r w:rsidR="00951405" w:rsidRPr="00711C9D">
        <w:rPr>
          <w:rFonts w:cs="Arial"/>
          <w:lang w:val="en-US"/>
        </w:rPr>
        <w:t xml:space="preserve"> for FeMTC</w:t>
      </w:r>
      <w:r w:rsidR="00701BB1">
        <w:rPr>
          <w:rFonts w:cs="Arial"/>
          <w:lang w:val="en-US"/>
        </w:rPr>
        <w:t xml:space="preserve"> in Release 14.</w:t>
      </w:r>
    </w:p>
    <w:p w14:paraId="260D0FFD" w14:textId="7B1D367B" w:rsidR="00951405" w:rsidRPr="00362BCA" w:rsidRDefault="007B0299" w:rsidP="00525203">
      <w:pPr>
        <w:rPr>
          <w:rFonts w:eastAsia="MS Mincho"/>
          <w:b/>
          <w:iCs/>
          <w:lang w:val="en-US" w:eastAsia="ja-JP"/>
        </w:rPr>
      </w:pPr>
      <w:r w:rsidRPr="00951405">
        <w:rPr>
          <w:rFonts w:eastAsia="MS Mincho"/>
          <w:b/>
          <w:iCs/>
          <w:lang w:val="en-US" w:eastAsia="ja-JP"/>
        </w:rPr>
        <w:t xml:space="preserve">Proposal 1: RAN1 does not introduce </w:t>
      </w:r>
      <w:r w:rsidRPr="00951405">
        <w:rPr>
          <w:b/>
        </w:rPr>
        <w:t>a</w:t>
      </w:r>
      <w:r w:rsidRPr="00951405">
        <w:rPr>
          <w:rFonts w:eastAsia="MS Mincho"/>
          <w:b/>
          <w:iCs/>
          <w:lang w:val="en-US" w:eastAsia="ja-JP"/>
        </w:rPr>
        <w:t xml:space="preserve">n optional finer muting pattern in </w:t>
      </w:r>
      <w:r w:rsidRPr="00951405">
        <w:rPr>
          <w:rFonts w:cs="Arial"/>
          <w:b/>
          <w:lang w:val="en-US"/>
        </w:rPr>
        <w:t>OTDOA enhancements for FeMTC</w:t>
      </w:r>
      <w:r w:rsidR="00701BB1">
        <w:rPr>
          <w:rFonts w:cs="Arial"/>
          <w:b/>
          <w:lang w:val="en-US"/>
        </w:rPr>
        <w:t xml:space="preserve"> in Release 14</w:t>
      </w:r>
      <w:r w:rsidR="00951405" w:rsidRPr="00951405">
        <w:rPr>
          <w:rFonts w:eastAsia="MS Mincho"/>
          <w:b/>
          <w:iCs/>
          <w:lang w:val="en-US" w:eastAsia="ja-JP"/>
        </w:rPr>
        <w:t>.</w:t>
      </w:r>
    </w:p>
    <w:p w14:paraId="0327FF8B" w14:textId="2C4E63E2" w:rsidR="00951405" w:rsidRDefault="00B12FCA" w:rsidP="00951405">
      <w:pPr>
        <w:pStyle w:val="Heading2"/>
        <w:rPr>
          <w:rFonts w:eastAsia="MS Mincho"/>
          <w:lang w:val="en-US" w:eastAsia="ja-JP"/>
        </w:rPr>
      </w:pPr>
      <w:r>
        <w:rPr>
          <w:rFonts w:eastAsia="MS Mincho"/>
          <w:lang w:val="en-US" w:eastAsia="ja-JP"/>
        </w:rPr>
        <w:t xml:space="preserve">PRS </w:t>
      </w:r>
      <w:r w:rsidR="00227C4E">
        <w:rPr>
          <w:rFonts w:eastAsia="MS Mincho"/>
          <w:lang w:val="en-US" w:eastAsia="ja-JP"/>
        </w:rPr>
        <w:t>f</w:t>
      </w:r>
      <w:r w:rsidR="00951405">
        <w:rPr>
          <w:rFonts w:eastAsia="MS Mincho"/>
          <w:lang w:val="en-US" w:eastAsia="ja-JP"/>
        </w:rPr>
        <w:t xml:space="preserve">requency </w:t>
      </w:r>
      <w:r w:rsidR="00227C4E">
        <w:rPr>
          <w:rFonts w:eastAsia="MS Mincho"/>
          <w:lang w:val="en-US" w:eastAsia="ja-JP"/>
        </w:rPr>
        <w:t>h</w:t>
      </w:r>
      <w:r w:rsidR="00951405">
        <w:rPr>
          <w:rFonts w:eastAsia="MS Mincho"/>
          <w:lang w:val="en-US" w:eastAsia="ja-JP"/>
        </w:rPr>
        <w:t xml:space="preserve">opping </w:t>
      </w:r>
      <w:r w:rsidR="00227C4E">
        <w:rPr>
          <w:rFonts w:eastAsia="MS Mincho"/>
          <w:lang w:val="en-US" w:eastAsia="ja-JP"/>
        </w:rPr>
        <w:t>i</w:t>
      </w:r>
      <w:r w:rsidR="00951405">
        <w:rPr>
          <w:rFonts w:eastAsia="MS Mincho"/>
          <w:lang w:val="en-US" w:eastAsia="ja-JP"/>
        </w:rPr>
        <w:t>nterval</w:t>
      </w:r>
    </w:p>
    <w:p w14:paraId="1240615C" w14:textId="325D88A9" w:rsidR="00951405" w:rsidRPr="00951405" w:rsidRDefault="00951405" w:rsidP="00951405">
      <w:pPr>
        <w:rPr>
          <w:rFonts w:eastAsia="MS Mincho"/>
          <w:lang w:val="en-US" w:eastAsia="ja-JP"/>
        </w:rPr>
      </w:pPr>
      <w:r w:rsidRPr="00084628">
        <w:t xml:space="preserve">In RAN1#87, </w:t>
      </w:r>
      <w:r>
        <w:t>the following options of PRS f</w:t>
      </w:r>
      <w:r w:rsidRPr="0062675A">
        <w:t>requency hopping interval</w:t>
      </w:r>
      <w:r>
        <w:t xml:space="preserve"> were discussed, and it is for further study which option to use.</w:t>
      </w:r>
    </w:p>
    <w:p w14:paraId="02F3F7A3" w14:textId="77777777" w:rsidR="00951405" w:rsidRPr="0062675A" w:rsidRDefault="00951405" w:rsidP="00951405">
      <w:pPr>
        <w:numPr>
          <w:ilvl w:val="0"/>
          <w:numId w:val="45"/>
        </w:numPr>
        <w:overflowPunct/>
        <w:autoSpaceDE/>
        <w:autoSpaceDN/>
        <w:adjustRightInd/>
        <w:spacing w:after="0"/>
        <w:jc w:val="left"/>
        <w:textAlignment w:val="auto"/>
      </w:pPr>
      <w:r w:rsidRPr="0062675A">
        <w:t>Option 1: {1, 2, 4, 8} SFs for FDD and {1, 5, 10, 20} SFs for TDD</w:t>
      </w:r>
    </w:p>
    <w:p w14:paraId="01D8325F" w14:textId="33B183B2" w:rsidR="00951405" w:rsidRDefault="00951405" w:rsidP="00525203">
      <w:pPr>
        <w:numPr>
          <w:ilvl w:val="0"/>
          <w:numId w:val="45"/>
        </w:numPr>
        <w:overflowPunct/>
        <w:autoSpaceDE/>
        <w:autoSpaceDN/>
        <w:adjustRightInd/>
        <w:spacing w:after="0"/>
        <w:jc w:val="left"/>
        <w:textAlignment w:val="auto"/>
        <w:rPr>
          <w:lang w:val="sv-SE"/>
        </w:rPr>
      </w:pPr>
      <w:r w:rsidRPr="0062675A">
        <w:t>Option 2: one PRS occasion</w:t>
      </w:r>
    </w:p>
    <w:p w14:paraId="3C161C74" w14:textId="77777777" w:rsidR="009619C4" w:rsidRPr="009619C4" w:rsidRDefault="009619C4" w:rsidP="009619C4">
      <w:pPr>
        <w:overflowPunct/>
        <w:autoSpaceDE/>
        <w:autoSpaceDN/>
        <w:adjustRightInd/>
        <w:spacing w:after="0"/>
        <w:ind w:left="720"/>
        <w:jc w:val="left"/>
        <w:textAlignment w:val="auto"/>
        <w:rPr>
          <w:lang w:val="sv-SE"/>
        </w:rPr>
      </w:pPr>
    </w:p>
    <w:p w14:paraId="671E3292" w14:textId="76B3A406" w:rsidR="00047015" w:rsidRDefault="00D56282" w:rsidP="00525203">
      <w:pPr>
        <w:rPr>
          <w:rFonts w:eastAsia="MS Mincho"/>
          <w:iCs/>
          <w:lang w:val="en-US" w:eastAsia="ja-JP"/>
        </w:rPr>
      </w:pPr>
      <w:r>
        <w:rPr>
          <w:rFonts w:eastAsia="MS Mincho"/>
          <w:iCs/>
          <w:lang w:val="en-US" w:eastAsia="ja-JP"/>
        </w:rPr>
        <w:t xml:space="preserve">Option 2 is cleaner and does not require an additional signaling parameter for the </w:t>
      </w:r>
      <w:r>
        <w:t>PRS f</w:t>
      </w:r>
      <w:r w:rsidRPr="0062675A">
        <w:t>requency hopping</w:t>
      </w:r>
      <w:r w:rsidR="007D1441">
        <w:t xml:space="preserve">. Further, Option 2 aligns with the rationale of introducing the support of </w:t>
      </w:r>
      <w:r w:rsidR="007D1441" w:rsidRPr="007D1441">
        <w:t>multiple PRS occasions in a legacy PRS period</w:t>
      </w:r>
      <w:r w:rsidR="007D1441">
        <w:t xml:space="preserve">, which was agreed in RAN1#87. </w:t>
      </w:r>
      <w:r>
        <w:t xml:space="preserve">With Option 1, </w:t>
      </w:r>
      <w:r w:rsidRPr="00D56282">
        <w:t xml:space="preserve">the PRS frequency hopping interval </w:t>
      </w:r>
      <w:r>
        <w:t xml:space="preserve">needs to be indicated </w:t>
      </w:r>
      <w:r w:rsidRPr="00D56282">
        <w:t>in a new LPP parameter</w:t>
      </w:r>
      <w:r>
        <w:t xml:space="preserve">. </w:t>
      </w:r>
      <w:r w:rsidR="007D1441">
        <w:t>Considering</w:t>
      </w:r>
      <w:r w:rsidR="007D1441" w:rsidRPr="007D1441">
        <w:t xml:space="preserve"> that RAN1#88</w:t>
      </w:r>
      <w:r w:rsidR="007D1441">
        <w:t xml:space="preserve"> and </w:t>
      </w:r>
      <w:r w:rsidR="007D1441" w:rsidRPr="007D1441">
        <w:t>RAN2#97</w:t>
      </w:r>
      <w:r w:rsidR="007D1441">
        <w:t xml:space="preserve"> are</w:t>
      </w:r>
      <w:r w:rsidR="007D1441" w:rsidRPr="007D1441">
        <w:t xml:space="preserve"> the last sched</w:t>
      </w:r>
      <w:r w:rsidR="007D1441">
        <w:t xml:space="preserve">uled meetings </w:t>
      </w:r>
      <w:r w:rsidR="007D1441">
        <w:lastRenderedPageBreak/>
        <w:t>in Rel-14, introducing a new parameter may impact RAN2 work and cause unnecessary delay. Therefore, we propose</w:t>
      </w:r>
      <w:r w:rsidR="004B78D9">
        <w:rPr>
          <w:rFonts w:eastAsia="MS Mincho"/>
          <w:iCs/>
          <w:lang w:val="en-US" w:eastAsia="ja-JP"/>
        </w:rPr>
        <w:t xml:space="preserve"> that</w:t>
      </w:r>
      <w:r w:rsidR="00047015">
        <w:rPr>
          <w:rFonts w:eastAsia="MS Mincho"/>
          <w:iCs/>
          <w:lang w:val="en-US" w:eastAsia="ja-JP"/>
        </w:rPr>
        <w:t xml:space="preserve"> Option </w:t>
      </w:r>
      <w:r w:rsidR="007D1441">
        <w:rPr>
          <w:rFonts w:eastAsia="MS Mincho"/>
          <w:iCs/>
          <w:lang w:val="en-US" w:eastAsia="ja-JP"/>
        </w:rPr>
        <w:t>2</w:t>
      </w:r>
      <w:r w:rsidR="00047015">
        <w:rPr>
          <w:rFonts w:eastAsia="MS Mincho"/>
          <w:iCs/>
          <w:lang w:val="en-US" w:eastAsia="ja-JP"/>
        </w:rPr>
        <w:t xml:space="preserve"> is selected for </w:t>
      </w:r>
      <w:r w:rsidR="00047015">
        <w:t>PRS f</w:t>
      </w:r>
      <w:r w:rsidR="00047015" w:rsidRPr="0062675A">
        <w:t>requency hopping</w:t>
      </w:r>
      <w:r w:rsidR="00047015">
        <w:t>.</w:t>
      </w:r>
    </w:p>
    <w:p w14:paraId="285B8BA8" w14:textId="6D3E35EA" w:rsidR="00047015" w:rsidRDefault="00047015" w:rsidP="00525203">
      <w:pPr>
        <w:rPr>
          <w:rFonts w:eastAsia="MS Mincho"/>
          <w:b/>
          <w:iCs/>
          <w:lang w:val="en-US" w:eastAsia="ja-JP"/>
        </w:rPr>
      </w:pPr>
      <w:r w:rsidRPr="00047015">
        <w:rPr>
          <w:rFonts w:eastAsia="MS Mincho"/>
          <w:b/>
          <w:iCs/>
          <w:lang w:val="en-US" w:eastAsia="ja-JP"/>
        </w:rPr>
        <w:t xml:space="preserve">Proposal 2: PRS frequency hopping interval is </w:t>
      </w:r>
      <w:r w:rsidR="00C21BCC">
        <w:rPr>
          <w:rFonts w:eastAsia="MS Mincho"/>
          <w:b/>
          <w:iCs/>
          <w:lang w:val="en-US" w:eastAsia="ja-JP"/>
        </w:rPr>
        <w:t>one PRS occasion</w:t>
      </w:r>
      <w:r w:rsidRPr="00047015">
        <w:rPr>
          <w:rFonts w:eastAsia="MS Mincho"/>
          <w:b/>
          <w:iCs/>
          <w:lang w:val="en-US" w:eastAsia="ja-JP"/>
        </w:rPr>
        <w:t xml:space="preserve">. </w:t>
      </w:r>
    </w:p>
    <w:p w14:paraId="50673DC2" w14:textId="5ACBDE78" w:rsidR="00364926" w:rsidRDefault="00364926" w:rsidP="00364926">
      <w:pPr>
        <w:pStyle w:val="Heading2"/>
        <w:rPr>
          <w:rFonts w:eastAsia="MS Mincho"/>
          <w:lang w:val="en-US" w:eastAsia="ja-JP"/>
        </w:rPr>
      </w:pPr>
      <w:r>
        <w:rPr>
          <w:rFonts w:eastAsia="MS Mincho"/>
          <w:lang w:val="en-US" w:eastAsia="ja-JP"/>
        </w:rPr>
        <w:t xml:space="preserve">Supported PRS </w:t>
      </w:r>
      <w:r w:rsidR="00227C4E">
        <w:rPr>
          <w:rFonts w:eastAsia="MS Mincho"/>
          <w:lang w:val="en-US" w:eastAsia="ja-JP"/>
        </w:rPr>
        <w:t>b</w:t>
      </w:r>
      <w:r>
        <w:rPr>
          <w:rFonts w:eastAsia="MS Mincho"/>
          <w:lang w:val="en-US" w:eastAsia="ja-JP"/>
        </w:rPr>
        <w:t xml:space="preserve">andwidth for </w:t>
      </w:r>
      <w:r w:rsidR="00227C4E">
        <w:rPr>
          <w:rFonts w:eastAsia="MS Mincho"/>
          <w:lang w:val="en-US" w:eastAsia="ja-JP"/>
        </w:rPr>
        <w:t>f</w:t>
      </w:r>
      <w:r>
        <w:rPr>
          <w:rFonts w:eastAsia="MS Mincho"/>
          <w:lang w:val="en-US" w:eastAsia="ja-JP"/>
        </w:rPr>
        <w:t xml:space="preserve">requency </w:t>
      </w:r>
      <w:r w:rsidR="00227C4E">
        <w:rPr>
          <w:rFonts w:eastAsia="MS Mincho"/>
          <w:lang w:val="en-US" w:eastAsia="ja-JP"/>
        </w:rPr>
        <w:t>h</w:t>
      </w:r>
      <w:r>
        <w:rPr>
          <w:rFonts w:eastAsia="MS Mincho"/>
          <w:lang w:val="en-US" w:eastAsia="ja-JP"/>
        </w:rPr>
        <w:t xml:space="preserve">opping </w:t>
      </w:r>
    </w:p>
    <w:p w14:paraId="485370E9" w14:textId="4349DA61" w:rsidR="000E7141" w:rsidRPr="000E7141" w:rsidRDefault="000E7141" w:rsidP="000E7141">
      <w:pPr>
        <w:rPr>
          <w:rFonts w:eastAsia="MS Mincho"/>
          <w:lang w:val="en-US" w:eastAsia="ja-JP"/>
        </w:rPr>
      </w:pPr>
      <w:r>
        <w:rPr>
          <w:lang w:val="en-US"/>
        </w:rPr>
        <w:t>It was agreed in RAN1#87 that the n</w:t>
      </w:r>
      <w:r w:rsidRPr="000E7141">
        <w:rPr>
          <w:lang w:val="en-US"/>
        </w:rPr>
        <w:t>umber of bands for</w:t>
      </w:r>
      <w:r>
        <w:rPr>
          <w:lang w:val="en-US"/>
        </w:rPr>
        <w:t xml:space="preserve"> PRS</w:t>
      </w:r>
      <w:r w:rsidRPr="000E7141">
        <w:rPr>
          <w:lang w:val="en-US"/>
        </w:rPr>
        <w:t xml:space="preserve"> frequency hopping</w:t>
      </w:r>
      <w:r>
        <w:rPr>
          <w:lang w:val="en-US"/>
        </w:rPr>
        <w:t xml:space="preserve"> is either 2 or 4, with the first band in the center and </w:t>
      </w:r>
      <w:r>
        <w:rPr>
          <w:rFonts w:eastAsia="MS Mincho"/>
          <w:lang w:val="en-US" w:eastAsia="ja-JP"/>
        </w:rPr>
        <w:t>t</w:t>
      </w:r>
      <w:r w:rsidRPr="000E7141">
        <w:rPr>
          <w:rFonts w:eastAsia="MS Mincho"/>
          <w:lang w:val="en-US" w:eastAsia="ja-JP"/>
        </w:rPr>
        <w:t xml:space="preserve">he starting position of each of </w:t>
      </w:r>
      <w:r>
        <w:rPr>
          <w:rFonts w:eastAsia="MS Mincho"/>
          <w:lang w:val="en-US" w:eastAsia="ja-JP"/>
        </w:rPr>
        <w:t>the remaining bands indicated separately by a</w:t>
      </w:r>
      <w:r w:rsidRPr="000E7141">
        <w:rPr>
          <w:rFonts w:eastAsia="MS Mincho"/>
          <w:lang w:val="en-US" w:eastAsia="ja-JP"/>
        </w:rPr>
        <w:t xml:space="preserve"> narrowband </w:t>
      </w:r>
      <w:r>
        <w:rPr>
          <w:rFonts w:eastAsia="MS Mincho"/>
          <w:lang w:val="en-US" w:eastAsia="ja-JP"/>
        </w:rPr>
        <w:t>index.</w:t>
      </w:r>
    </w:p>
    <w:p w14:paraId="116D639C" w14:textId="6292A069" w:rsidR="000E7141" w:rsidRDefault="006A4E50" w:rsidP="000E7141">
      <w:r>
        <w:rPr>
          <w:lang w:val="en-US"/>
        </w:rPr>
        <w:t>Un</w:t>
      </w:r>
      <w:r>
        <w:t>der</w:t>
      </w:r>
      <w:r w:rsidR="000E7141">
        <w:t xml:space="preserve"> a configuration of 5 MHz (i.e., 25 PRBs) PRS with 160 ms periodicity and 2 consecutive subframes in each period, LTE UE can meet the legacy RSTD measurement requirements </w:t>
      </w:r>
      <w:r w:rsidR="000E7141">
        <w:fldChar w:fldCharType="begin"/>
      </w:r>
      <w:r w:rsidR="000E7141">
        <w:instrText xml:space="preserve"> REF _Ref473540478 \r \h </w:instrText>
      </w:r>
      <w:r w:rsidR="000E7141">
        <w:fldChar w:fldCharType="separate"/>
      </w:r>
      <w:r w:rsidR="00782613">
        <w:t>[2]</w:t>
      </w:r>
      <w:r w:rsidR="000E7141">
        <w:fldChar w:fldCharType="end"/>
      </w:r>
      <w:r w:rsidR="000E7141">
        <w:t xml:space="preserve">. If the RSTD requirements are not tightened for FeMTC UE, it seems that 5 MHz PRS without hopping is sufficient for FeMTC UE that is capable of receiving 5 MHz or wider bandwidth signal to meet the legacy RSTD requirements. Further, 5 MHz PRS does not fit well </w:t>
      </w:r>
      <w:r>
        <w:t xml:space="preserve">with the definitions of </w:t>
      </w:r>
      <w:r w:rsidR="000E7141">
        <w:t>narrowband</w:t>
      </w:r>
      <w:r>
        <w:t xml:space="preserve">. Introducing frequency hopping for 5 MHz PRS needs additional discussions and decisions in RAN1, which is not desirable </w:t>
      </w:r>
      <w:r>
        <w:rPr>
          <w:rFonts w:eastAsia="MS Mincho"/>
          <w:iCs/>
          <w:lang w:val="en-US" w:eastAsia="ja-JP"/>
        </w:rPr>
        <w:t>considering that RAN1#88 is the last scheduled meeting in Rel-14 and there are other more important issues.</w:t>
      </w:r>
    </w:p>
    <w:p w14:paraId="0D4237B8" w14:textId="5F80B235" w:rsidR="000E7141" w:rsidRDefault="000E7141" w:rsidP="000E7141">
      <w:r>
        <w:t xml:space="preserve">For FeMTC UE that is only capable of receiving 1.4 MHz bandwidth signal, frequency hopping of 1.4 MHz </w:t>
      </w:r>
      <w:r w:rsidR="006A4E50">
        <w:t xml:space="preserve">(i.e., 6 PRBs) </w:t>
      </w:r>
      <w:r>
        <w:t xml:space="preserve">PRS can be beneficial for improving RSTD measurement accuracy. </w:t>
      </w:r>
      <w:r w:rsidR="006A4E50">
        <w:t xml:space="preserve">Also, </w:t>
      </w:r>
      <w:r w:rsidR="00C04543">
        <w:t>6-</w:t>
      </w:r>
      <w:r w:rsidR="006A4E50">
        <w:t>PRB PRS fits well with the definitions of narrowband.</w:t>
      </w:r>
    </w:p>
    <w:p w14:paraId="2C91D950" w14:textId="47CB7EE0" w:rsidR="00364926" w:rsidRPr="002E1A17" w:rsidRDefault="006A4E50" w:rsidP="00364926">
      <w:pPr>
        <w:rPr>
          <w:rFonts w:eastAsia="MS Mincho"/>
          <w:b/>
          <w:iCs/>
          <w:lang w:val="en-US" w:eastAsia="ja-JP"/>
        </w:rPr>
      </w:pPr>
      <w:r w:rsidRPr="00047015">
        <w:rPr>
          <w:rFonts w:eastAsia="MS Mincho"/>
          <w:b/>
          <w:iCs/>
          <w:lang w:val="en-US" w:eastAsia="ja-JP"/>
        </w:rPr>
        <w:t xml:space="preserve">Proposal </w:t>
      </w:r>
      <w:r>
        <w:rPr>
          <w:rFonts w:eastAsia="MS Mincho"/>
          <w:b/>
          <w:iCs/>
          <w:lang w:val="en-US" w:eastAsia="ja-JP"/>
        </w:rPr>
        <w:t>3</w:t>
      </w:r>
      <w:r w:rsidRPr="00047015">
        <w:rPr>
          <w:rFonts w:eastAsia="MS Mincho"/>
          <w:b/>
          <w:iCs/>
          <w:lang w:val="en-US" w:eastAsia="ja-JP"/>
        </w:rPr>
        <w:t xml:space="preserve">: PRS frequency hopping </w:t>
      </w:r>
      <w:r w:rsidR="00950C33">
        <w:rPr>
          <w:rFonts w:eastAsia="MS Mincho"/>
          <w:b/>
          <w:iCs/>
          <w:lang w:val="en-US" w:eastAsia="ja-JP"/>
        </w:rPr>
        <w:t>is only supported</w:t>
      </w:r>
      <w:r w:rsidR="00C04543">
        <w:rPr>
          <w:rFonts w:eastAsia="MS Mincho"/>
          <w:b/>
          <w:iCs/>
          <w:lang w:val="en-US" w:eastAsia="ja-JP"/>
        </w:rPr>
        <w:t xml:space="preserve"> for PRS</w:t>
      </w:r>
      <w:r w:rsidR="00950C33">
        <w:rPr>
          <w:rFonts w:eastAsia="MS Mincho"/>
          <w:b/>
          <w:iCs/>
          <w:lang w:val="en-US" w:eastAsia="ja-JP"/>
        </w:rPr>
        <w:t xml:space="preserve"> </w:t>
      </w:r>
      <w:r w:rsidR="00A80917">
        <w:rPr>
          <w:rFonts w:eastAsia="MS Mincho"/>
          <w:b/>
          <w:iCs/>
          <w:lang w:val="en-US" w:eastAsia="ja-JP"/>
        </w:rPr>
        <w:t xml:space="preserve">with bandwidth of 6 </w:t>
      </w:r>
      <w:r w:rsidR="00881C8C">
        <w:rPr>
          <w:rFonts w:eastAsia="MS Mincho"/>
          <w:b/>
          <w:iCs/>
          <w:lang w:val="en-US" w:eastAsia="ja-JP"/>
        </w:rPr>
        <w:t>PRB</w:t>
      </w:r>
      <w:r w:rsidR="00A80917">
        <w:rPr>
          <w:rFonts w:eastAsia="MS Mincho"/>
          <w:b/>
          <w:iCs/>
          <w:lang w:val="en-US" w:eastAsia="ja-JP"/>
        </w:rPr>
        <w:t>s</w:t>
      </w:r>
      <w:r w:rsidRPr="00047015">
        <w:rPr>
          <w:rFonts w:eastAsia="MS Mincho"/>
          <w:b/>
          <w:iCs/>
          <w:lang w:val="en-US" w:eastAsia="ja-JP"/>
        </w:rPr>
        <w:t xml:space="preserve">. </w:t>
      </w:r>
    </w:p>
    <w:p w14:paraId="781B200A" w14:textId="215F8F70" w:rsidR="00047015" w:rsidRDefault="00B12FCA" w:rsidP="00646FCB">
      <w:pPr>
        <w:pStyle w:val="Heading2"/>
      </w:pPr>
      <w:r>
        <w:t>Start</w:t>
      </w:r>
      <w:r w:rsidR="0094420B">
        <w:t>ing s</w:t>
      </w:r>
      <w:r w:rsidR="0073420F">
        <w:t>ubframe</w:t>
      </w:r>
      <w:r>
        <w:t xml:space="preserve"> of PRS </w:t>
      </w:r>
      <w:r w:rsidR="0094420B">
        <w:rPr>
          <w:rFonts w:eastAsia="MS Mincho"/>
          <w:lang w:val="en-US" w:eastAsia="ja-JP"/>
        </w:rPr>
        <w:t>frequency h</w:t>
      </w:r>
      <w:r>
        <w:rPr>
          <w:rFonts w:eastAsia="MS Mincho"/>
          <w:lang w:val="en-US" w:eastAsia="ja-JP"/>
        </w:rPr>
        <w:t>opping</w:t>
      </w:r>
    </w:p>
    <w:p w14:paraId="5DED4FA4" w14:textId="7C860858" w:rsidR="0073420F" w:rsidRDefault="0073420F" w:rsidP="00B12FCA">
      <w:r w:rsidRPr="00084628">
        <w:t xml:space="preserve">In RAN1#87, </w:t>
      </w:r>
      <w:r>
        <w:t>the starting time of PRS f</w:t>
      </w:r>
      <w:r w:rsidRPr="0062675A">
        <w:t>requency hopping interval</w:t>
      </w:r>
      <w:r>
        <w:t xml:space="preserve"> was discussed, and it is for further study if “</w:t>
      </w:r>
      <w:r w:rsidRPr="0073420F">
        <w:rPr>
          <w:i/>
        </w:rPr>
        <w:t>t</w:t>
      </w:r>
      <w:r w:rsidR="00611C0B" w:rsidRPr="0073420F">
        <w:rPr>
          <w:rFonts w:eastAsia="MS Mincho"/>
          <w:i/>
          <w:iCs/>
          <w:lang w:val="en-US" w:eastAsia="ja-JP"/>
        </w:rPr>
        <w:t>he hopping pattern starts in every radio frame fulfilling SFN mod 8 = 0</w:t>
      </w:r>
      <w:r>
        <w:rPr>
          <w:rFonts w:eastAsia="MS Mincho"/>
          <w:iCs/>
          <w:lang w:val="en-US" w:eastAsia="ja-JP"/>
        </w:rPr>
        <w:t>.” This is motivated by the potential alignment of the</w:t>
      </w:r>
      <w:r w:rsidR="00C9143B">
        <w:rPr>
          <w:rFonts w:eastAsia="MS Mincho"/>
          <w:iCs/>
          <w:lang w:val="en-US" w:eastAsia="ja-JP"/>
        </w:rPr>
        <w:t xml:space="preserve"> PRS</w:t>
      </w:r>
      <w:r>
        <w:rPr>
          <w:rFonts w:eastAsia="MS Mincho"/>
          <w:iCs/>
          <w:lang w:val="en-US" w:eastAsia="ja-JP"/>
        </w:rPr>
        <w:t xml:space="preserve"> frequency hopping with SIB1-BR</w:t>
      </w:r>
      <w:r w:rsidR="00C9143B">
        <w:rPr>
          <w:rFonts w:eastAsia="MS Mincho"/>
          <w:iCs/>
          <w:lang w:val="en-US" w:eastAsia="ja-JP"/>
        </w:rPr>
        <w:t xml:space="preserve"> frequency hopping</w:t>
      </w:r>
      <w:r>
        <w:rPr>
          <w:rFonts w:eastAsia="MS Mincho"/>
          <w:iCs/>
          <w:lang w:val="en-US" w:eastAsia="ja-JP"/>
        </w:rPr>
        <w:t xml:space="preserve">. In particular, </w:t>
      </w:r>
      <w:r>
        <w:t>f</w:t>
      </w:r>
      <w:r w:rsidRPr="0073420F">
        <w:t>or BL/CE UEs, if the PDSCH carries SIB1-BR, the PDSCH transmission is repeated periodically in every period of 8 radio frames, where a period starts with a radio frame with</w:t>
      </w:r>
      <w:r w:rsidRPr="0073420F">
        <w:rPr>
          <w:rFonts w:eastAsia="MS Mincho"/>
          <w:iCs/>
          <w:lang w:val="en-US" w:eastAsia="ja-JP"/>
        </w:rPr>
        <w:t xml:space="preserve"> SFN mod 8 = 0</w:t>
      </w:r>
      <w:r w:rsidRPr="0073420F">
        <w:t xml:space="preserve">. </w:t>
      </w:r>
    </w:p>
    <w:p w14:paraId="1A4153CA" w14:textId="295542EE" w:rsidR="00D7620A" w:rsidRDefault="0073420F" w:rsidP="0073420F">
      <w:r>
        <w:t xml:space="preserve">Nevertheless, we do not see </w:t>
      </w:r>
      <w:r w:rsidRPr="0073420F">
        <w:t>significant performance improvement</w:t>
      </w:r>
      <w:r>
        <w:t xml:space="preserve"> by </w:t>
      </w:r>
      <w:r w:rsidRPr="0073420F">
        <w:t>align</w:t>
      </w:r>
      <w:r>
        <w:t>ing</w:t>
      </w:r>
      <w:r w:rsidRPr="0073420F">
        <w:t xml:space="preserve"> the PRS hopping with SIB1-BR hopping</w:t>
      </w:r>
      <w:r>
        <w:t>. In addition,</w:t>
      </w:r>
      <w:r w:rsidRPr="0073420F">
        <w:t xml:space="preserve"> the SFNs of neighbour cells are not signalled</w:t>
      </w:r>
      <w:r>
        <w:t xml:space="preserve"> in </w:t>
      </w:r>
      <w:r w:rsidRPr="0073420F">
        <w:t>the existing LPP</w:t>
      </w:r>
      <w:r>
        <w:t xml:space="preserve">. As a result, if </w:t>
      </w:r>
      <w:r w:rsidRPr="0073420F">
        <w:t xml:space="preserve">the hopping pattern starts in every radio </w:t>
      </w:r>
      <w:r>
        <w:t xml:space="preserve">frame fulfilling SFN mod 8 = 0, </w:t>
      </w:r>
      <w:r w:rsidR="00D7620A">
        <w:t>each neighbour cell’s SFN</w:t>
      </w:r>
      <w:r w:rsidR="00D7620A" w:rsidRPr="00D56282">
        <w:t xml:space="preserve"> </w:t>
      </w:r>
      <w:r w:rsidR="00D7620A">
        <w:t xml:space="preserve">needs to be indicated </w:t>
      </w:r>
      <w:r w:rsidR="00D7620A" w:rsidRPr="00D56282">
        <w:t>in a new LPP parameter</w:t>
      </w:r>
      <w:r w:rsidR="00D7620A">
        <w:t xml:space="preserve">, resulting in additional overhead. </w:t>
      </w:r>
    </w:p>
    <w:p w14:paraId="6A4D2477" w14:textId="5AB33366" w:rsidR="00844E25" w:rsidRDefault="00D7620A" w:rsidP="00D7620A">
      <w:r>
        <w:t xml:space="preserve">To avoid introducing </w:t>
      </w:r>
      <w:r w:rsidRPr="00D56282">
        <w:t>a new LPP parameter</w:t>
      </w:r>
      <w:r>
        <w:t xml:space="preserve"> carrying SFN information of each neighbour cell, we propose that the s</w:t>
      </w:r>
      <w:r w:rsidRPr="00D7620A">
        <w:t xml:space="preserve">tarting </w:t>
      </w:r>
      <w:r>
        <w:t>subframe of PRS frequency h</w:t>
      </w:r>
      <w:r w:rsidRPr="00D7620A">
        <w:t>opping</w:t>
      </w:r>
      <w:r>
        <w:t xml:space="preserve"> does not depend on SFN. Instead, we propose that the s</w:t>
      </w:r>
      <w:r w:rsidRPr="00D7620A">
        <w:t xml:space="preserve">tarting </w:t>
      </w:r>
      <w:r>
        <w:t>subframe of PRS frequency h</w:t>
      </w:r>
      <w:r w:rsidRPr="00D7620A">
        <w:t>opping</w:t>
      </w:r>
      <w:r>
        <w:t xml:space="preserve"> is the </w:t>
      </w:r>
      <w:r w:rsidRPr="00D7620A">
        <w:t>first PRS subframe</w:t>
      </w:r>
      <w:r w:rsidR="008113A3">
        <w:t xml:space="preserve"> in each</w:t>
      </w:r>
      <w:r w:rsidR="00EA3AC9">
        <w:t xml:space="preserve"> legacy</w:t>
      </w:r>
      <w:r w:rsidR="008113A3">
        <w:t xml:space="preserve"> PRS </w:t>
      </w:r>
      <w:r w:rsidR="00EA3AC9">
        <w:t>period</w:t>
      </w:r>
      <w:r>
        <w:t xml:space="preserve">. As agreed in </w:t>
      </w:r>
      <w:r w:rsidRPr="00084628">
        <w:t>RAN1#87</w:t>
      </w:r>
      <w:r>
        <w:t>, the first</w:t>
      </w:r>
      <w:r w:rsidR="00664DF6">
        <w:t xml:space="preserve"> PRS</w:t>
      </w:r>
      <w:r>
        <w:t xml:space="preserve"> </w:t>
      </w:r>
      <w:r w:rsidR="00664DF6">
        <w:t>narrow</w:t>
      </w:r>
      <w:r>
        <w:t>band is in the center, and the</w:t>
      </w:r>
      <w:r w:rsidRPr="00013640">
        <w:t xml:space="preserve"> transmission cycles through the other</w:t>
      </w:r>
      <w:r>
        <w:t xml:space="preserve"> configured PRS narrowbands</w:t>
      </w:r>
      <w:r w:rsidR="00844E25">
        <w:t xml:space="preserve"> during the transmission of PRS signals in this period</w:t>
      </w:r>
      <w:r>
        <w:t xml:space="preserve">. </w:t>
      </w:r>
      <w:r w:rsidR="00D63D5A">
        <w:t xml:space="preserve">In the next </w:t>
      </w:r>
      <w:r w:rsidR="00EA3AC9">
        <w:t>legacy PRS period</w:t>
      </w:r>
      <w:r w:rsidR="00844E25">
        <w:t>, t</w:t>
      </w:r>
      <w:r>
        <w:t>he hopping is then re-initialized</w:t>
      </w:r>
      <w:r w:rsidR="00844E25">
        <w:t>.</w:t>
      </w:r>
    </w:p>
    <w:p w14:paraId="08BE9BBE" w14:textId="4BD40868" w:rsidR="008E4984" w:rsidRDefault="008E4984" w:rsidP="00D7620A">
      <w:r>
        <w:fldChar w:fldCharType="begin"/>
      </w:r>
      <w:r>
        <w:instrText xml:space="preserve"> REF _Ref471739573 \h </w:instrText>
      </w:r>
      <w:r>
        <w:fldChar w:fldCharType="separate"/>
      </w:r>
      <w:r w:rsidR="00782613">
        <w:t xml:space="preserve">Figure </w:t>
      </w:r>
      <w:r w:rsidR="00782613">
        <w:rPr>
          <w:noProof/>
        </w:rPr>
        <w:t>1</w:t>
      </w:r>
      <w:r>
        <w:fldChar w:fldCharType="end"/>
      </w:r>
      <w:r>
        <w:t xml:space="preserve"> illustrates </w:t>
      </w:r>
      <w:r w:rsidRPr="008E4984">
        <w:t>PRS frequency hopping</w:t>
      </w:r>
      <w:r>
        <w:t>. There are</w:t>
      </w:r>
      <w:r w:rsidRPr="008E4984">
        <w:t xml:space="preserve"> </w:t>
      </w:r>
      <w:r w:rsidR="00EA3AC9">
        <w:t>4</w:t>
      </w:r>
      <w:r w:rsidRPr="008E4984">
        <w:t xml:space="preserve"> P</w:t>
      </w:r>
      <w:r>
        <w:t>RS occasions i</w:t>
      </w:r>
      <w:r w:rsidR="00BF5791">
        <w:t>n each</w:t>
      </w:r>
      <w:r w:rsidR="00EA3AC9">
        <w:t xml:space="preserve"> legacy PRS period</w:t>
      </w:r>
      <w:r w:rsidR="00BF5791">
        <w:t>.</w:t>
      </w:r>
      <w:r w:rsidRPr="008E4984">
        <w:t xml:space="preserve"> 4 PRS frequency hopping bands with the first band in the center</w:t>
      </w:r>
      <w:r>
        <w:t xml:space="preserve"> are configured. The</w:t>
      </w:r>
      <w:r w:rsidRPr="008E4984">
        <w:t xml:space="preserve"> frequency hopping interval is </w:t>
      </w:r>
      <w:r w:rsidR="00664DF6">
        <w:t xml:space="preserve">assumed to be </w:t>
      </w:r>
      <w:r w:rsidR="00EA3AC9">
        <w:t>one PRS occasion</w:t>
      </w:r>
      <w:r>
        <w:t>. The</w:t>
      </w:r>
      <w:r w:rsidRPr="008E4984">
        <w:t xml:space="preserve"> frequency hopping starts at the first</w:t>
      </w:r>
      <w:r w:rsidR="006D14CE">
        <w:t xml:space="preserve"> PRS subframe in each</w:t>
      </w:r>
      <w:r w:rsidR="00EA3AC9">
        <w:t xml:space="preserve"> legacy PRS period</w:t>
      </w:r>
      <w:r w:rsidRPr="008E4984">
        <w:t xml:space="preserve">, and then </w:t>
      </w:r>
      <w:r w:rsidR="00664DF6">
        <w:t xml:space="preserve">the </w:t>
      </w:r>
      <w:r w:rsidRPr="008E4984">
        <w:t>PRS transmission cycles through the configured PRS bands until the l</w:t>
      </w:r>
      <w:r w:rsidR="006D14CE">
        <w:t xml:space="preserve">ast PRS subframe in the </w:t>
      </w:r>
      <w:r w:rsidR="00EA3AC9">
        <w:t>legacy PRS period</w:t>
      </w:r>
      <w:r>
        <w:t>. The hopping pa</w:t>
      </w:r>
      <w:r w:rsidR="00D87222">
        <w:t>ttern repeats across</w:t>
      </w:r>
      <w:r w:rsidR="00EA3AC9">
        <w:t xml:space="preserve"> legacy PRS periods</w:t>
      </w:r>
      <w:r>
        <w:t>.</w:t>
      </w:r>
    </w:p>
    <w:p w14:paraId="709E6963" w14:textId="46D4F18C" w:rsidR="00623C92" w:rsidRPr="00623C92" w:rsidRDefault="00623C92" w:rsidP="00D7620A">
      <w:pPr>
        <w:rPr>
          <w:b/>
        </w:rPr>
      </w:pPr>
      <w:r w:rsidRPr="00B40BF0">
        <w:rPr>
          <w:b/>
        </w:rPr>
        <w:t xml:space="preserve">Proposal </w:t>
      </w:r>
      <w:r w:rsidR="007A7602">
        <w:rPr>
          <w:b/>
        </w:rPr>
        <w:t>4</w:t>
      </w:r>
      <w:r w:rsidRPr="00B40BF0">
        <w:rPr>
          <w:b/>
        </w:rPr>
        <w:t>: The starting subframe of PRS frequency hopping is the first</w:t>
      </w:r>
      <w:r w:rsidR="002C6287">
        <w:rPr>
          <w:b/>
        </w:rPr>
        <w:t xml:space="preserve"> PRS subframe in each</w:t>
      </w:r>
      <w:r w:rsidR="00EA3AC9">
        <w:rPr>
          <w:b/>
        </w:rPr>
        <w:t xml:space="preserve"> legacy PRS period</w:t>
      </w:r>
      <w:r w:rsidRPr="00B40BF0">
        <w:rPr>
          <w:b/>
        </w:rPr>
        <w:t>.</w:t>
      </w:r>
    </w:p>
    <w:p w14:paraId="0B57B64A" w14:textId="0C8D7175" w:rsidR="00844E25" w:rsidRDefault="003A4DEC" w:rsidP="00D7620A">
      <w:r>
        <w:rPr>
          <w:noProof/>
          <w:lang w:val="sv-SE" w:eastAsia="sv-SE"/>
        </w:rPr>
        <w:lastRenderedPageBreak/>
        <w:drawing>
          <wp:inline distT="0" distB="0" distL="0" distR="0" wp14:anchorId="29464935" wp14:editId="52D566B9">
            <wp:extent cx="6115050" cy="3361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050" cy="3361055"/>
                    </a:xfrm>
                    <a:prstGeom prst="rect">
                      <a:avLst/>
                    </a:prstGeom>
                  </pic:spPr>
                </pic:pic>
              </a:graphicData>
            </a:graphic>
          </wp:inline>
        </w:drawing>
      </w:r>
    </w:p>
    <w:p w14:paraId="3D4E3E2B" w14:textId="34B4630E" w:rsidR="00844E25" w:rsidRDefault="00B40BF0" w:rsidP="005076F1">
      <w:pPr>
        <w:pStyle w:val="Caption"/>
      </w:pPr>
      <w:bookmarkStart w:id="2" w:name="_Ref471739573"/>
      <w:r>
        <w:t xml:space="preserve">Figure </w:t>
      </w:r>
      <w:r>
        <w:fldChar w:fldCharType="begin"/>
      </w:r>
      <w:r>
        <w:instrText xml:space="preserve"> SEQ Figure \* ARABIC </w:instrText>
      </w:r>
      <w:r>
        <w:fldChar w:fldCharType="separate"/>
      </w:r>
      <w:r w:rsidR="00782613">
        <w:rPr>
          <w:noProof/>
        </w:rPr>
        <w:t>1</w:t>
      </w:r>
      <w:r>
        <w:fldChar w:fldCharType="end"/>
      </w:r>
      <w:bookmarkEnd w:id="2"/>
      <w:r w:rsidR="003C09BD">
        <w:t xml:space="preserve">: PRS frequency hopping illustration: </w:t>
      </w:r>
      <w:r w:rsidR="003A4DEC">
        <w:t>4</w:t>
      </w:r>
      <w:r w:rsidR="003C09BD">
        <w:t xml:space="preserve"> PRS occasions in each PRS period; 4 PRS frequency hopping bands with the first band in the center; frequency hopping starts at the first PRS subframe in each</w:t>
      </w:r>
      <w:r w:rsidR="003A4DEC">
        <w:t xml:space="preserve"> legacy</w:t>
      </w:r>
      <w:r w:rsidR="003C09BD">
        <w:t xml:space="preserve"> PRS period, and then PRS transmission </w:t>
      </w:r>
      <w:r w:rsidR="00BD74CB">
        <w:t>cycles through the configured PRS bands until the last PRS subframe in a</w:t>
      </w:r>
      <w:r w:rsidR="003A4DEC">
        <w:t xml:space="preserve"> legacy</w:t>
      </w:r>
      <w:r w:rsidR="00BD74CB">
        <w:t xml:space="preserve"> PRS period</w:t>
      </w:r>
      <w:r w:rsidR="003C7F9F">
        <w:t>.</w:t>
      </w:r>
      <w:r w:rsidR="003C09BD">
        <w:t xml:space="preserve"> </w:t>
      </w:r>
    </w:p>
    <w:p w14:paraId="409E88F2" w14:textId="472A20AA" w:rsidR="00B12FCA" w:rsidRDefault="00F44183" w:rsidP="00B12FCA">
      <w:pPr>
        <w:pStyle w:val="Heading2"/>
      </w:pPr>
      <w:r>
        <w:t>PRS p</w:t>
      </w:r>
      <w:r w:rsidR="00B12FCA">
        <w:t>recoder</w:t>
      </w:r>
    </w:p>
    <w:p w14:paraId="0333DF5A" w14:textId="34B0AD39" w:rsidR="00E23C45" w:rsidRDefault="00BC1563" w:rsidP="00BC1563">
      <w:r w:rsidRPr="00084628">
        <w:t xml:space="preserve">In RAN1#87, </w:t>
      </w:r>
      <w:r>
        <w:t>it was agreed for further study that “</w:t>
      </w:r>
      <w:r w:rsidRPr="00BC1563">
        <w:rPr>
          <w:i/>
        </w:rPr>
        <w:t>When frequency hopping is enabled, the UE can assume that the same precoder is used within one frequency hopping interval</w:t>
      </w:r>
      <w:r>
        <w:t xml:space="preserve">.” </w:t>
      </w:r>
      <w:r w:rsidR="00E23C45">
        <w:t xml:space="preserve">In LTE, PRS signals are transmitted on antenna port 6. In particular, there are no precoders defined for PRS signals. The mapping of PRS signals to physical antennas is up to eNB implementation. For example, </w:t>
      </w:r>
      <w:r w:rsidR="00E23C45">
        <w:fldChar w:fldCharType="begin"/>
      </w:r>
      <w:r w:rsidR="00E23C45">
        <w:instrText xml:space="preserve"> REF _Ref471742001 \h </w:instrText>
      </w:r>
      <w:r w:rsidR="00E23C45">
        <w:fldChar w:fldCharType="separate"/>
      </w:r>
      <w:r w:rsidR="00782613">
        <w:t xml:space="preserve">Figure </w:t>
      </w:r>
      <w:r w:rsidR="00782613">
        <w:rPr>
          <w:noProof/>
        </w:rPr>
        <w:t>2</w:t>
      </w:r>
      <w:r w:rsidR="00E23C45">
        <w:fldChar w:fldCharType="end"/>
      </w:r>
      <w:r w:rsidR="00E23C45">
        <w:t xml:space="preserve"> gives an illustration of the mapping of PRS signals to physical antennas, assuming 4 antennas at the eNB. The eNB may change the mapping precoder to create antenna diversity in </w:t>
      </w:r>
      <w:r w:rsidR="00FE15A0">
        <w:t>PRS transmission.</w:t>
      </w:r>
    </w:p>
    <w:p w14:paraId="25EB46EB" w14:textId="77777777" w:rsidR="00695B19" w:rsidRDefault="00695B19" w:rsidP="00695B19">
      <w:r>
        <w:rPr>
          <w:noProof/>
          <w:lang w:val="sv-SE" w:eastAsia="sv-SE"/>
        </w:rPr>
        <w:drawing>
          <wp:inline distT="0" distB="0" distL="0" distR="0" wp14:anchorId="06696718" wp14:editId="14A4C9A1">
            <wp:extent cx="6115050" cy="3374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050" cy="3374390"/>
                    </a:xfrm>
                    <a:prstGeom prst="rect">
                      <a:avLst/>
                    </a:prstGeom>
                  </pic:spPr>
                </pic:pic>
              </a:graphicData>
            </a:graphic>
          </wp:inline>
        </w:drawing>
      </w:r>
    </w:p>
    <w:p w14:paraId="571E68B9" w14:textId="58059308" w:rsidR="00695B19" w:rsidRDefault="00695B19" w:rsidP="00695B19">
      <w:pPr>
        <w:pStyle w:val="Caption"/>
      </w:pPr>
      <w:bookmarkStart w:id="3" w:name="_Ref471742001"/>
      <w:r>
        <w:t xml:space="preserve">Figure </w:t>
      </w:r>
      <w:r>
        <w:fldChar w:fldCharType="begin"/>
      </w:r>
      <w:r>
        <w:instrText xml:space="preserve"> SEQ Figure \* ARABIC </w:instrText>
      </w:r>
      <w:r>
        <w:fldChar w:fldCharType="separate"/>
      </w:r>
      <w:r w:rsidR="00782613">
        <w:rPr>
          <w:noProof/>
        </w:rPr>
        <w:t>2</w:t>
      </w:r>
      <w:r>
        <w:fldChar w:fldCharType="end"/>
      </w:r>
      <w:bookmarkEnd w:id="3"/>
      <w:r>
        <w:t>: PRS precoder illustration</w:t>
      </w:r>
    </w:p>
    <w:p w14:paraId="2DACCFF2" w14:textId="1BAEAC77" w:rsidR="00E23C45" w:rsidRDefault="00E23C45" w:rsidP="00BC1563">
      <w:r>
        <w:lastRenderedPageBreak/>
        <w:t>If the precoder changes, UE cannot coher</w:t>
      </w:r>
      <w:r w:rsidR="00185D5D">
        <w:t>ently combine PRS signals sent with different precoders</w:t>
      </w:r>
      <w:r>
        <w:t xml:space="preserve"> without knowing the used precoder</w:t>
      </w:r>
      <w:r w:rsidR="00185D5D">
        <w:t>s</w:t>
      </w:r>
      <w:r>
        <w:t xml:space="preserve">. In legacy LTE, the maximum number of consecutive PRS subframes is 6, and the minimum PRS period is 160 ms. </w:t>
      </w:r>
      <w:r w:rsidR="00695B19">
        <w:t>A reasonable eNB implementation would</w:t>
      </w:r>
      <w:r w:rsidR="00657F16">
        <w:t xml:space="preserve"> likely</w:t>
      </w:r>
      <w:r w:rsidR="00695B19">
        <w:t xml:space="preserve"> not change precoder within a PRS occasi</w:t>
      </w:r>
      <w:r w:rsidR="007A27B0">
        <w:t>on that consists of at most 6 subframe</w:t>
      </w:r>
      <w:r w:rsidR="00695B19">
        <w:t>s. The eNB may change precoder across PRS periods. Since the minimum PRS period is at least 160 ms, a reasonable UE implementation would</w:t>
      </w:r>
      <w:r w:rsidR="00FE15A0">
        <w:t xml:space="preserve"> likely</w:t>
      </w:r>
      <w:r w:rsidR="00695B19">
        <w:t xml:space="preserve"> not attempt to coherently combine PRS signals across the PRS periods if the UE does not have the knowledge of the precoder.</w:t>
      </w:r>
    </w:p>
    <w:p w14:paraId="133069C3" w14:textId="28851294" w:rsidR="001C15C6" w:rsidRDefault="00695B19" w:rsidP="00BC1563">
      <w:r>
        <w:t xml:space="preserve">With the agreed </w:t>
      </w:r>
      <w:r w:rsidRPr="00695B19">
        <w:t>OTDOA enhancements for FeMTC</w:t>
      </w:r>
      <w:r>
        <w:t>, the</w:t>
      </w:r>
      <w:r w:rsidRPr="00695B19">
        <w:t xml:space="preserve"> number of </w:t>
      </w:r>
      <w:r w:rsidR="00CB4762">
        <w:t xml:space="preserve">consecutive </w:t>
      </w:r>
      <w:r w:rsidRPr="00695B19">
        <w:t>PRS subframes per PRS occa</w:t>
      </w:r>
      <w:r w:rsidR="00224B8B">
        <w:t>sion may be</w:t>
      </w:r>
      <w:r w:rsidRPr="00695B19">
        <w:t xml:space="preserve"> {1, 2, 4, 6, 10, 20, 40, 80, 160} subframes</w:t>
      </w:r>
      <w:r w:rsidR="008411B9">
        <w:t>. Also, t</w:t>
      </w:r>
      <w:r w:rsidR="008411B9" w:rsidRPr="008411B9">
        <w:t>o support more frequent PRS transmission in time, multiple PRS occasions in a legacy PRS period</w:t>
      </w:r>
      <w:r w:rsidR="008411B9">
        <w:t xml:space="preserve"> are introduced. </w:t>
      </w:r>
      <w:r w:rsidR="0032556E">
        <w:t>The frequency of changing</w:t>
      </w:r>
      <w:r w:rsidR="000C7E99">
        <w:t xml:space="preserve"> PRS precoder is a tradeoff between coherent combining gain and antenna diversity gain.</w:t>
      </w:r>
      <w:r w:rsidR="001C15C6">
        <w:t xml:space="preserve"> It can be</w:t>
      </w:r>
      <w:r w:rsidR="0032556E">
        <w:t xml:space="preserve"> up to network implementation to decide on</w:t>
      </w:r>
      <w:r w:rsidR="001C15C6">
        <w:t xml:space="preserve"> how to trade off the two factors. That said, it may facilitate UE RSTD measurements if UE can assume the precoder is not changed </w:t>
      </w:r>
      <w:r w:rsidR="00724960">
        <w:t>with</w:t>
      </w:r>
      <w:r w:rsidR="001C15C6">
        <w:t>in a certain interval. Thus, we propose to agree on the FFS.</w:t>
      </w:r>
    </w:p>
    <w:p w14:paraId="3DF03CC9" w14:textId="02C5A557" w:rsidR="005076F1" w:rsidRDefault="001C15C6" w:rsidP="001C15C6">
      <w:pPr>
        <w:overflowPunct/>
        <w:autoSpaceDE/>
        <w:autoSpaceDN/>
        <w:adjustRightInd/>
        <w:spacing w:after="0"/>
        <w:jc w:val="left"/>
        <w:textAlignment w:val="auto"/>
        <w:rPr>
          <w:rFonts w:eastAsia="MS Mincho"/>
          <w:b/>
          <w:iCs/>
          <w:lang w:val="en-US" w:eastAsia="ja-JP"/>
        </w:rPr>
      </w:pPr>
      <w:r w:rsidRPr="001C15C6">
        <w:rPr>
          <w:b/>
        </w:rPr>
        <w:t xml:space="preserve">Proposal </w:t>
      </w:r>
      <w:r w:rsidR="00214EEC">
        <w:rPr>
          <w:b/>
        </w:rPr>
        <w:t>5</w:t>
      </w:r>
      <w:r w:rsidRPr="001C15C6">
        <w:rPr>
          <w:b/>
        </w:rPr>
        <w:t xml:space="preserve">: RAN1 agrees that </w:t>
      </w:r>
      <w:r w:rsidRPr="001C15C6">
        <w:rPr>
          <w:rFonts w:eastAsia="MS Mincho"/>
          <w:b/>
          <w:iCs/>
          <w:lang w:val="en-US" w:eastAsia="ja-JP"/>
        </w:rPr>
        <w:t>when frequency hopping is enabled, the UE can assume that the same precoder is used within one frequency hopping interval.</w:t>
      </w:r>
    </w:p>
    <w:p w14:paraId="22F0B63B" w14:textId="15B1B8C9" w:rsidR="005076F1" w:rsidRDefault="00F44183" w:rsidP="005076F1">
      <w:pPr>
        <w:pStyle w:val="Heading2"/>
        <w:rPr>
          <w:rFonts w:eastAsia="MS Mincho"/>
          <w:lang w:val="en-US" w:eastAsia="ja-JP"/>
        </w:rPr>
      </w:pPr>
      <w:r>
        <w:rPr>
          <w:rFonts w:eastAsia="MS Mincho"/>
          <w:lang w:val="en-US" w:eastAsia="ja-JP"/>
        </w:rPr>
        <w:t>Maximum number of PRS b</w:t>
      </w:r>
      <w:r w:rsidR="005076F1">
        <w:rPr>
          <w:rFonts w:eastAsia="MS Mincho"/>
          <w:lang w:val="en-US" w:eastAsia="ja-JP"/>
        </w:rPr>
        <w:t>andwidths</w:t>
      </w:r>
    </w:p>
    <w:p w14:paraId="56424D31" w14:textId="77777777" w:rsidR="005076F1" w:rsidRDefault="005076F1" w:rsidP="005076F1">
      <w:pPr>
        <w:overflowPunct/>
        <w:autoSpaceDE/>
        <w:autoSpaceDN/>
        <w:adjustRightInd/>
        <w:spacing w:after="0"/>
        <w:jc w:val="left"/>
        <w:textAlignment w:val="auto"/>
      </w:pPr>
      <w:r w:rsidRPr="00084628">
        <w:t xml:space="preserve">In RAN1#87, </w:t>
      </w:r>
      <w:r>
        <w:t xml:space="preserve">it was agreed that </w:t>
      </w:r>
    </w:p>
    <w:p w14:paraId="6F20393F" w14:textId="1F8C36DE" w:rsidR="005076F1" w:rsidRPr="005076F1" w:rsidRDefault="005076F1" w:rsidP="005076F1">
      <w:pPr>
        <w:pStyle w:val="ListParagraph"/>
        <w:numPr>
          <w:ilvl w:val="0"/>
          <w:numId w:val="47"/>
        </w:numPr>
        <w:overflowPunct/>
        <w:autoSpaceDE/>
        <w:autoSpaceDN/>
        <w:adjustRightInd/>
        <w:spacing w:after="0"/>
        <w:jc w:val="left"/>
        <w:textAlignment w:val="auto"/>
        <w:rPr>
          <w:rFonts w:eastAsia="MS Mincho"/>
          <w:i/>
          <w:iCs/>
          <w:lang w:val="en-US" w:eastAsia="ja-JP"/>
        </w:rPr>
      </w:pPr>
      <w:r w:rsidRPr="005076F1">
        <w:rPr>
          <w:rFonts w:eastAsia="MS Mincho"/>
          <w:i/>
          <w:iCs/>
          <w:lang w:val="en-US" w:eastAsia="ja-JP"/>
        </w:rPr>
        <w:t xml:space="preserve">One cell can transmit multiple PRS time-frequency configurations with possibly up to </w:t>
      </w:r>
      <w:r w:rsidRPr="005076F1">
        <w:rPr>
          <w:rFonts w:eastAsia="MS Mincho"/>
          <w:i/>
          <w:iCs/>
          <w:highlight w:val="yellow"/>
          <w:lang w:val="en-US" w:eastAsia="ja-JP"/>
        </w:rPr>
        <w:t>[3]</w:t>
      </w:r>
      <w:r w:rsidRPr="005076F1">
        <w:rPr>
          <w:rFonts w:eastAsia="MS Mincho"/>
          <w:i/>
          <w:iCs/>
          <w:lang w:val="en-US" w:eastAsia="ja-JP"/>
        </w:rPr>
        <w:t xml:space="preserve"> different PRS bandwidths</w:t>
      </w:r>
    </w:p>
    <w:p w14:paraId="0896E4B2" w14:textId="7843FB30" w:rsidR="005076F1" w:rsidRPr="005076F1" w:rsidRDefault="005076F1" w:rsidP="00CA646D">
      <w:pPr>
        <w:pStyle w:val="ListParagraph"/>
        <w:numPr>
          <w:ilvl w:val="0"/>
          <w:numId w:val="47"/>
        </w:numPr>
        <w:rPr>
          <w:rFonts w:eastAsia="MS Mincho"/>
          <w:i/>
          <w:lang w:val="en-US" w:eastAsia="ja-JP"/>
        </w:rPr>
      </w:pPr>
      <w:r w:rsidRPr="005076F1">
        <w:rPr>
          <w:rFonts w:eastAsia="MS Mincho"/>
          <w:i/>
          <w:iCs/>
          <w:lang w:val="en-US" w:eastAsia="ja-JP"/>
        </w:rPr>
        <w:t xml:space="preserve">Configuration information multiple PRS time-frequency configurations with possibly up to </w:t>
      </w:r>
      <w:r w:rsidRPr="005076F1">
        <w:rPr>
          <w:rFonts w:eastAsia="MS Mincho"/>
          <w:i/>
          <w:iCs/>
          <w:highlight w:val="yellow"/>
          <w:lang w:val="en-US" w:eastAsia="ja-JP"/>
        </w:rPr>
        <w:t>[3]</w:t>
      </w:r>
      <w:r w:rsidRPr="005076F1">
        <w:rPr>
          <w:rFonts w:eastAsia="MS Mincho"/>
          <w:i/>
          <w:iCs/>
          <w:lang w:val="en-US" w:eastAsia="ja-JP"/>
        </w:rPr>
        <w:t xml:space="preserve"> different PRS bandwidths per cel</w:t>
      </w:r>
      <w:r w:rsidR="00CA646D">
        <w:rPr>
          <w:rFonts w:eastAsia="MS Mincho"/>
          <w:i/>
          <w:iCs/>
          <w:lang w:val="en-US" w:eastAsia="ja-JP"/>
        </w:rPr>
        <w:t xml:space="preserve">l </w:t>
      </w:r>
      <w:r w:rsidR="00CA646D" w:rsidRPr="00CA646D">
        <w:rPr>
          <w:rFonts w:eastAsia="MS Mincho"/>
          <w:i/>
          <w:iCs/>
          <w:lang w:val="en-US" w:eastAsia="ja-JP"/>
        </w:rPr>
        <w:t>can be signaled to the UE, each information associated with a set of configuration parameters including PRS configuration index, number of PRS subframes per occasion, muting pattern, and new optional parameters</w:t>
      </w:r>
    </w:p>
    <w:p w14:paraId="67BC31BB" w14:textId="2C70065E" w:rsidR="00D6753C" w:rsidRDefault="00D6753C" w:rsidP="001C15C6">
      <w:pPr>
        <w:overflowPunct/>
        <w:autoSpaceDE/>
        <w:autoSpaceDN/>
        <w:adjustRightInd/>
        <w:spacing w:after="0"/>
        <w:jc w:val="left"/>
        <w:textAlignment w:val="auto"/>
        <w:rPr>
          <w:rFonts w:eastAsia="MS Mincho"/>
          <w:b/>
          <w:iCs/>
          <w:lang w:val="en-US" w:eastAsia="ja-JP"/>
        </w:rPr>
      </w:pPr>
    </w:p>
    <w:p w14:paraId="677BCB0D" w14:textId="68978BEA" w:rsidR="00CA646D" w:rsidRDefault="00CA646D" w:rsidP="001C15C6">
      <w:pPr>
        <w:overflowPunct/>
        <w:autoSpaceDE/>
        <w:autoSpaceDN/>
        <w:adjustRightInd/>
        <w:spacing w:after="0"/>
        <w:jc w:val="left"/>
        <w:textAlignment w:val="auto"/>
        <w:rPr>
          <w:rFonts w:eastAsia="MS Mincho"/>
          <w:iCs/>
          <w:lang w:val="en-US" w:eastAsia="ja-JP"/>
        </w:rPr>
      </w:pPr>
      <w:r>
        <w:rPr>
          <w:rFonts w:eastAsia="MS Mincho"/>
          <w:iCs/>
          <w:lang w:val="en-US" w:eastAsia="ja-JP"/>
        </w:rPr>
        <w:t>Configuring multiple PRS bandwidths is beneficial for supporting multiple</w:t>
      </w:r>
      <w:r w:rsidRPr="00CA646D">
        <w:rPr>
          <w:rFonts w:eastAsia="MS Mincho"/>
          <w:iCs/>
          <w:lang w:val="en-US" w:eastAsia="ja-JP"/>
        </w:rPr>
        <w:t xml:space="preserve"> device types with limited PRS resource overhead</w:t>
      </w:r>
      <w:r>
        <w:rPr>
          <w:rFonts w:eastAsia="MS Mincho"/>
          <w:iCs/>
          <w:lang w:val="en-US" w:eastAsia="ja-JP"/>
        </w:rPr>
        <w:t>. Since there may be 1.4 MHz Cat-M1 devices, 5 MHz Cat-M2 devices, and normal LTE devices</w:t>
      </w:r>
      <w:r w:rsidR="00A067A7">
        <w:rPr>
          <w:rFonts w:eastAsia="MS Mincho"/>
          <w:iCs/>
          <w:lang w:val="en-US" w:eastAsia="ja-JP"/>
        </w:rPr>
        <w:t xml:space="preserve"> in a cell</w:t>
      </w:r>
      <w:r w:rsidR="002F58F8">
        <w:rPr>
          <w:rFonts w:eastAsia="MS Mincho"/>
          <w:iCs/>
          <w:lang w:val="en-US" w:eastAsia="ja-JP"/>
        </w:rPr>
        <w:t xml:space="preserve">, it is appropriate </w:t>
      </w:r>
      <w:r>
        <w:rPr>
          <w:rFonts w:eastAsia="MS Mincho"/>
          <w:iCs/>
          <w:lang w:val="en-US" w:eastAsia="ja-JP"/>
        </w:rPr>
        <w:t xml:space="preserve">for </w:t>
      </w:r>
      <w:r w:rsidR="00A067A7">
        <w:rPr>
          <w:rFonts w:eastAsia="MS Mincho"/>
          <w:iCs/>
          <w:lang w:val="en-US" w:eastAsia="ja-JP"/>
        </w:rPr>
        <w:t>the</w:t>
      </w:r>
      <w:r w:rsidRPr="00CA646D">
        <w:rPr>
          <w:rFonts w:eastAsia="MS Mincho"/>
          <w:iCs/>
          <w:lang w:val="en-US" w:eastAsia="ja-JP"/>
        </w:rPr>
        <w:t xml:space="preserve"> cell </w:t>
      </w:r>
      <w:r>
        <w:rPr>
          <w:rFonts w:eastAsia="MS Mincho"/>
          <w:iCs/>
          <w:lang w:val="en-US" w:eastAsia="ja-JP"/>
        </w:rPr>
        <w:t>to</w:t>
      </w:r>
      <w:r w:rsidRPr="00CA646D">
        <w:rPr>
          <w:rFonts w:eastAsia="MS Mincho"/>
          <w:iCs/>
          <w:lang w:val="en-US" w:eastAsia="ja-JP"/>
        </w:rPr>
        <w:t xml:space="preserve"> transmit multiple PRS time-frequency config</w:t>
      </w:r>
      <w:r>
        <w:rPr>
          <w:rFonts w:eastAsia="MS Mincho"/>
          <w:iCs/>
          <w:lang w:val="en-US" w:eastAsia="ja-JP"/>
        </w:rPr>
        <w:t>urations with possibly up to 3</w:t>
      </w:r>
      <w:r w:rsidRPr="00CA646D">
        <w:rPr>
          <w:rFonts w:eastAsia="MS Mincho"/>
          <w:iCs/>
          <w:lang w:val="en-US" w:eastAsia="ja-JP"/>
        </w:rPr>
        <w:t xml:space="preserve"> different PRS bandwidths</w:t>
      </w:r>
      <w:r>
        <w:rPr>
          <w:rFonts w:eastAsia="MS Mincho"/>
          <w:iCs/>
          <w:lang w:val="en-US" w:eastAsia="ja-JP"/>
        </w:rPr>
        <w:t>. Note that this does not preclude the cell from transmitting a NPRS time-frequency configuration</w:t>
      </w:r>
      <w:r w:rsidR="00280419">
        <w:rPr>
          <w:rFonts w:eastAsia="MS Mincho"/>
          <w:iCs/>
          <w:lang w:val="en-US" w:eastAsia="ja-JP"/>
        </w:rPr>
        <w:t xml:space="preserve"> for NB-IoT devices</w:t>
      </w:r>
      <w:r>
        <w:rPr>
          <w:rFonts w:eastAsia="MS Mincho"/>
          <w:iCs/>
          <w:lang w:val="en-US" w:eastAsia="ja-JP"/>
        </w:rPr>
        <w:t xml:space="preserve">. </w:t>
      </w:r>
    </w:p>
    <w:p w14:paraId="2B64D713" w14:textId="77777777" w:rsidR="00CA646D" w:rsidRDefault="00CA646D" w:rsidP="001C15C6">
      <w:pPr>
        <w:overflowPunct/>
        <w:autoSpaceDE/>
        <w:autoSpaceDN/>
        <w:adjustRightInd/>
        <w:spacing w:after="0"/>
        <w:jc w:val="left"/>
        <w:textAlignment w:val="auto"/>
        <w:rPr>
          <w:rFonts w:eastAsia="MS Mincho"/>
          <w:iCs/>
          <w:lang w:val="en-US" w:eastAsia="ja-JP"/>
        </w:rPr>
      </w:pPr>
    </w:p>
    <w:p w14:paraId="0524F2A5" w14:textId="3B4349FA" w:rsidR="00CA646D" w:rsidRPr="00664BA7" w:rsidRDefault="00CA646D" w:rsidP="001C15C6">
      <w:pPr>
        <w:overflowPunct/>
        <w:autoSpaceDE/>
        <w:autoSpaceDN/>
        <w:adjustRightInd/>
        <w:spacing w:after="0"/>
        <w:jc w:val="left"/>
        <w:textAlignment w:val="auto"/>
        <w:rPr>
          <w:rFonts w:eastAsia="MS Mincho"/>
          <w:b/>
          <w:iCs/>
          <w:lang w:val="en-US" w:eastAsia="ja-JP"/>
        </w:rPr>
      </w:pPr>
      <w:r w:rsidRPr="00664BA7">
        <w:rPr>
          <w:rFonts w:eastAsia="MS Mincho"/>
          <w:b/>
          <w:iCs/>
          <w:lang w:val="en-US" w:eastAsia="ja-JP"/>
        </w:rPr>
        <w:t xml:space="preserve">Proposal </w:t>
      </w:r>
      <w:r w:rsidR="00214EEC">
        <w:rPr>
          <w:rFonts w:eastAsia="MS Mincho"/>
          <w:b/>
          <w:iCs/>
          <w:lang w:val="en-US" w:eastAsia="ja-JP"/>
        </w:rPr>
        <w:t>6</w:t>
      </w:r>
      <w:r w:rsidRPr="00664BA7">
        <w:rPr>
          <w:rFonts w:eastAsia="MS Mincho"/>
          <w:b/>
          <w:iCs/>
          <w:lang w:val="en-US" w:eastAsia="ja-JP"/>
        </w:rPr>
        <w:t xml:space="preserve">: RAN1 confirms that </w:t>
      </w:r>
    </w:p>
    <w:p w14:paraId="07E5F967" w14:textId="4D87D476" w:rsidR="00CA646D" w:rsidRPr="00664BA7" w:rsidRDefault="00CA646D" w:rsidP="00CA646D">
      <w:pPr>
        <w:pStyle w:val="ListParagraph"/>
        <w:numPr>
          <w:ilvl w:val="0"/>
          <w:numId w:val="47"/>
        </w:numPr>
        <w:overflowPunct/>
        <w:autoSpaceDE/>
        <w:autoSpaceDN/>
        <w:adjustRightInd/>
        <w:spacing w:after="0"/>
        <w:jc w:val="left"/>
        <w:textAlignment w:val="auto"/>
        <w:rPr>
          <w:rFonts w:eastAsia="MS Mincho"/>
          <w:b/>
          <w:iCs/>
          <w:lang w:val="en-US" w:eastAsia="ja-JP"/>
        </w:rPr>
      </w:pPr>
      <w:r w:rsidRPr="00664BA7">
        <w:rPr>
          <w:rFonts w:eastAsia="MS Mincho"/>
          <w:b/>
          <w:iCs/>
          <w:lang w:val="en-US" w:eastAsia="ja-JP"/>
        </w:rPr>
        <w:t>One cell can transmit multiple PRS time-frequency configurations with possibly up to 3 different PRS bandwidths</w:t>
      </w:r>
      <w:r w:rsidR="009B377F">
        <w:rPr>
          <w:rFonts w:eastAsia="MS Mincho"/>
          <w:b/>
          <w:iCs/>
          <w:lang w:val="en-US" w:eastAsia="ja-JP"/>
        </w:rPr>
        <w:t>.</w:t>
      </w:r>
    </w:p>
    <w:p w14:paraId="2C832111" w14:textId="5D892711" w:rsidR="00CA646D" w:rsidRPr="00664BA7" w:rsidRDefault="00CA646D" w:rsidP="00CA646D">
      <w:pPr>
        <w:pStyle w:val="ListParagraph"/>
        <w:numPr>
          <w:ilvl w:val="0"/>
          <w:numId w:val="47"/>
        </w:numPr>
        <w:rPr>
          <w:rFonts w:eastAsia="MS Mincho"/>
          <w:b/>
          <w:lang w:val="en-US" w:eastAsia="ja-JP"/>
        </w:rPr>
      </w:pPr>
      <w:r w:rsidRPr="00664BA7">
        <w:rPr>
          <w:rFonts w:eastAsia="MS Mincho"/>
          <w:b/>
          <w:iCs/>
          <w:lang w:val="en-US" w:eastAsia="ja-JP"/>
        </w:rPr>
        <w:t>Configuration information multiple PRS time-frequency configurations with possibly up to 3 different PRS bandwidths per cell can be signaled to the UE, each information associated with a set of configuration parameters including PRS configuration index, number of PRS subframes per occasion, muting pattern, and new optional parameters</w:t>
      </w:r>
      <w:r w:rsidR="009B377F">
        <w:rPr>
          <w:rFonts w:eastAsia="MS Mincho"/>
          <w:b/>
          <w:iCs/>
          <w:lang w:val="en-US" w:eastAsia="ja-JP"/>
        </w:rPr>
        <w:t>.</w:t>
      </w:r>
    </w:p>
    <w:p w14:paraId="7B6CD86F" w14:textId="4416C40B" w:rsidR="00CA646D" w:rsidRPr="00CA646D" w:rsidRDefault="00135B20" w:rsidP="00CA646D">
      <w:pPr>
        <w:pStyle w:val="Heading2"/>
        <w:rPr>
          <w:rFonts w:eastAsia="MS Mincho"/>
          <w:lang w:val="en-US" w:eastAsia="ja-JP"/>
        </w:rPr>
      </w:pPr>
      <w:r>
        <w:rPr>
          <w:rFonts w:eastAsia="MS Mincho"/>
          <w:lang w:val="en-US" w:eastAsia="ja-JP"/>
        </w:rPr>
        <w:t>Parallel r</w:t>
      </w:r>
      <w:r w:rsidR="00DC5465">
        <w:rPr>
          <w:rFonts w:eastAsia="MS Mincho"/>
          <w:lang w:val="en-US" w:eastAsia="ja-JP"/>
        </w:rPr>
        <w:t>eception</w:t>
      </w:r>
    </w:p>
    <w:p w14:paraId="10E47C3D" w14:textId="5DF21FE6" w:rsidR="00EE5D7F" w:rsidRDefault="00EE5D7F" w:rsidP="001C15C6">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FeMTC devices are of lower complexity compared to normal LTE devices. If the network configures PRS subframes in </w:t>
      </w:r>
      <w:r w:rsidRPr="00EE5D7F">
        <w:rPr>
          <w:rFonts w:eastAsia="MS Mincho"/>
          <w:iCs/>
          <w:lang w:val="en-US" w:eastAsia="ja-JP"/>
        </w:rPr>
        <w:t>non-BL/CE (“invalid”) subframes</w:t>
      </w:r>
      <w:r>
        <w:rPr>
          <w:rFonts w:eastAsia="MS Mincho"/>
          <w:iCs/>
          <w:lang w:val="en-US" w:eastAsia="ja-JP"/>
        </w:rPr>
        <w:t xml:space="preserve"> during which </w:t>
      </w:r>
      <w:r w:rsidRPr="00EE5D7F">
        <w:rPr>
          <w:rFonts w:eastAsia="MS Mincho"/>
          <w:iCs/>
          <w:lang w:val="en-US" w:eastAsia="ja-JP"/>
        </w:rPr>
        <w:t>ongoing MPDCCH/PDSCH reception</w:t>
      </w:r>
      <w:r>
        <w:rPr>
          <w:rFonts w:eastAsia="MS Mincho"/>
          <w:iCs/>
          <w:lang w:val="en-US" w:eastAsia="ja-JP"/>
        </w:rPr>
        <w:t xml:space="preserve"> (if exists) is suspended, FeMTC UE </w:t>
      </w:r>
      <w:r w:rsidR="00BD418B">
        <w:rPr>
          <w:rFonts w:eastAsia="MS Mincho"/>
          <w:iCs/>
          <w:lang w:val="en-US" w:eastAsia="ja-JP"/>
        </w:rPr>
        <w:t>may</w:t>
      </w:r>
      <w:r>
        <w:rPr>
          <w:rFonts w:eastAsia="MS Mincho"/>
          <w:iCs/>
          <w:lang w:val="en-US" w:eastAsia="ja-JP"/>
        </w:rPr>
        <w:t xml:space="preserve"> measure RSTD and does not need to receive </w:t>
      </w:r>
      <w:r w:rsidRPr="00EE5D7F">
        <w:rPr>
          <w:rFonts w:eastAsia="MS Mincho"/>
          <w:iCs/>
          <w:lang w:val="en-US" w:eastAsia="ja-JP"/>
        </w:rPr>
        <w:t>MPDCCH/PDSCH</w:t>
      </w:r>
      <w:r>
        <w:rPr>
          <w:rFonts w:eastAsia="MS Mincho"/>
          <w:iCs/>
          <w:lang w:val="en-US" w:eastAsia="ja-JP"/>
        </w:rPr>
        <w:t xml:space="preserve"> in the meantime.</w:t>
      </w:r>
      <w:r w:rsidR="00BD418B">
        <w:rPr>
          <w:rFonts w:eastAsia="MS Mincho"/>
          <w:iCs/>
          <w:lang w:val="en-US" w:eastAsia="ja-JP"/>
        </w:rPr>
        <w:t xml:space="preserve"> It is proposed that RAN1 discusses if this is a feasible case. If it is feasible, RAN1 may further consider discussing </w:t>
      </w:r>
      <w:r w:rsidR="00BD418B" w:rsidRPr="00BD418B">
        <w:rPr>
          <w:rFonts w:eastAsia="MS Mincho"/>
          <w:iCs/>
          <w:lang w:val="en-US" w:eastAsia="ja-JP"/>
        </w:rPr>
        <w:t>whether there is a need to introduce a corresponding UE capability or not</w:t>
      </w:r>
      <w:r w:rsidR="00BD418B">
        <w:rPr>
          <w:rFonts w:eastAsia="MS Mincho"/>
          <w:iCs/>
          <w:lang w:val="en-US" w:eastAsia="ja-JP"/>
        </w:rPr>
        <w:t>.</w:t>
      </w:r>
    </w:p>
    <w:p w14:paraId="51D988BC" w14:textId="34BB7850" w:rsidR="00604C8C" w:rsidRDefault="00604C8C" w:rsidP="001C15C6">
      <w:pPr>
        <w:overflowPunct/>
        <w:autoSpaceDE/>
        <w:autoSpaceDN/>
        <w:adjustRightInd/>
        <w:spacing w:after="0"/>
        <w:jc w:val="left"/>
        <w:textAlignment w:val="auto"/>
        <w:rPr>
          <w:rFonts w:eastAsia="MS Mincho"/>
          <w:iCs/>
          <w:lang w:val="en-US" w:eastAsia="ja-JP"/>
        </w:rPr>
      </w:pPr>
    </w:p>
    <w:p w14:paraId="17035AAC" w14:textId="2FBB53C8" w:rsidR="00604C8C" w:rsidRPr="00135B20" w:rsidRDefault="00604C8C" w:rsidP="001C15C6">
      <w:pPr>
        <w:overflowPunct/>
        <w:autoSpaceDE/>
        <w:autoSpaceDN/>
        <w:adjustRightInd/>
        <w:spacing w:after="0"/>
        <w:jc w:val="left"/>
        <w:textAlignment w:val="auto"/>
        <w:rPr>
          <w:rFonts w:eastAsia="MS Mincho"/>
          <w:b/>
          <w:iCs/>
          <w:lang w:val="en-US" w:eastAsia="ja-JP"/>
        </w:rPr>
      </w:pPr>
      <w:r w:rsidRPr="00135B20">
        <w:rPr>
          <w:rFonts w:eastAsia="MS Mincho"/>
          <w:b/>
          <w:iCs/>
          <w:lang w:val="en-US" w:eastAsia="ja-JP"/>
        </w:rPr>
        <w:t>Proposal 7: RAN1 clarifies if it is feasible for FeMTC devices to receive PRS in non-BL/CE (“invalid”) subframes during which ongoing MPDCCH/PDSCH reception</w:t>
      </w:r>
      <w:r w:rsidR="00324B8F" w:rsidRPr="00135B20">
        <w:rPr>
          <w:rFonts w:eastAsia="MS Mincho"/>
          <w:b/>
          <w:iCs/>
          <w:lang w:val="en-US" w:eastAsia="ja-JP"/>
        </w:rPr>
        <w:t xml:space="preserve"> (if exists) is suspended.</w:t>
      </w:r>
    </w:p>
    <w:p w14:paraId="6D2D26D4" w14:textId="5CDDB912" w:rsidR="00EC395B" w:rsidRPr="00135B20" w:rsidRDefault="00EC395B" w:rsidP="00227C4E">
      <w:pPr>
        <w:pStyle w:val="ListParagraph"/>
        <w:numPr>
          <w:ilvl w:val="0"/>
          <w:numId w:val="50"/>
        </w:numPr>
        <w:overflowPunct/>
        <w:autoSpaceDE/>
        <w:autoSpaceDN/>
        <w:adjustRightInd/>
        <w:spacing w:after="0"/>
        <w:jc w:val="left"/>
        <w:textAlignment w:val="auto"/>
        <w:rPr>
          <w:rFonts w:eastAsia="MS Mincho"/>
          <w:b/>
          <w:iCs/>
          <w:lang w:val="en-US" w:eastAsia="ja-JP"/>
        </w:rPr>
      </w:pPr>
      <w:r w:rsidRPr="00135B20">
        <w:rPr>
          <w:rFonts w:eastAsia="MS Mincho"/>
          <w:b/>
          <w:iCs/>
          <w:lang w:val="en-US" w:eastAsia="ja-JP"/>
        </w:rPr>
        <w:t>If it is considered feasible, RAN1 further clarifies whether there is a need to introduce a corresponding UE capability or not.</w:t>
      </w:r>
    </w:p>
    <w:p w14:paraId="0D513D02" w14:textId="77777777" w:rsidR="00EE5D7F" w:rsidRDefault="00EE5D7F" w:rsidP="001C15C6">
      <w:pPr>
        <w:overflowPunct/>
        <w:autoSpaceDE/>
        <w:autoSpaceDN/>
        <w:adjustRightInd/>
        <w:spacing w:after="0"/>
        <w:jc w:val="left"/>
        <w:textAlignment w:val="auto"/>
        <w:rPr>
          <w:rFonts w:eastAsia="MS Mincho"/>
          <w:iCs/>
          <w:lang w:val="en-US" w:eastAsia="ja-JP"/>
        </w:rPr>
      </w:pPr>
    </w:p>
    <w:p w14:paraId="3BA08308" w14:textId="7C5BE2C8" w:rsidR="00D6753C" w:rsidRDefault="000E2475" w:rsidP="00D6753C">
      <w:pPr>
        <w:pStyle w:val="Heading2"/>
        <w:rPr>
          <w:rFonts w:eastAsia="MS Mincho"/>
          <w:lang w:val="en-US" w:eastAsia="ja-JP"/>
        </w:rPr>
      </w:pPr>
      <w:r>
        <w:rPr>
          <w:rFonts w:eastAsia="MS Mincho"/>
          <w:lang w:val="en-US" w:eastAsia="ja-JP"/>
        </w:rPr>
        <w:t>Decreasing</w:t>
      </w:r>
      <w:r w:rsidR="00D6753C">
        <w:rPr>
          <w:rFonts w:eastAsia="MS Mincho"/>
          <w:lang w:val="en-US" w:eastAsia="ja-JP"/>
        </w:rPr>
        <w:t xml:space="preserve"> PRS </w:t>
      </w:r>
      <w:r w:rsidR="0037501D">
        <w:rPr>
          <w:rFonts w:eastAsia="MS Mincho"/>
          <w:lang w:val="en-US" w:eastAsia="ja-JP"/>
        </w:rPr>
        <w:t>f</w:t>
      </w:r>
      <w:r>
        <w:rPr>
          <w:rFonts w:eastAsia="MS Mincho"/>
          <w:lang w:val="en-US" w:eastAsia="ja-JP"/>
        </w:rPr>
        <w:t xml:space="preserve">requency </w:t>
      </w:r>
      <w:r w:rsidR="0037501D">
        <w:rPr>
          <w:rFonts w:eastAsia="MS Mincho"/>
          <w:lang w:val="en-US" w:eastAsia="ja-JP"/>
        </w:rPr>
        <w:t>r</w:t>
      </w:r>
      <w:r w:rsidR="00D6753C">
        <w:rPr>
          <w:rFonts w:eastAsia="MS Mincho"/>
          <w:lang w:val="en-US" w:eastAsia="ja-JP"/>
        </w:rPr>
        <w:t>euse</w:t>
      </w:r>
      <w:r w:rsidR="0037501D">
        <w:rPr>
          <w:rFonts w:eastAsia="MS Mincho"/>
          <w:lang w:val="en-US" w:eastAsia="ja-JP"/>
        </w:rPr>
        <w:t xml:space="preserve"> f</w:t>
      </w:r>
      <w:r>
        <w:rPr>
          <w:rFonts w:eastAsia="MS Mincho"/>
          <w:lang w:val="en-US" w:eastAsia="ja-JP"/>
        </w:rPr>
        <w:t>actor</w:t>
      </w:r>
    </w:p>
    <w:p w14:paraId="46FC2883" w14:textId="6927DA2A" w:rsidR="00B73938" w:rsidRDefault="00B73938" w:rsidP="00D6753C">
      <w:pPr>
        <w:rPr>
          <w:rFonts w:eastAsia="MS Mincho"/>
          <w:lang w:val="en-US" w:eastAsia="ja-JP"/>
        </w:rPr>
      </w:pPr>
      <w:r w:rsidRPr="00B73938">
        <w:rPr>
          <w:rFonts w:eastAsia="MS Mincho"/>
          <w:lang w:val="en-US" w:eastAsia="ja-JP"/>
        </w:rPr>
        <w:t>The PRS design has a fixed frequency reuse of 6 which is adequate when a</w:t>
      </w:r>
      <w:r w:rsidR="00F95397">
        <w:rPr>
          <w:rFonts w:eastAsia="MS Mincho"/>
          <w:lang w:val="en-US" w:eastAsia="ja-JP"/>
        </w:rPr>
        <w:t xml:space="preserve"> </w:t>
      </w:r>
      <w:r w:rsidR="00F95397">
        <w:rPr>
          <w:rFonts w:eastAsia="MS Mincho"/>
          <w:iCs/>
          <w:lang w:val="en-US" w:eastAsia="ja-JP"/>
        </w:rPr>
        <w:t>FeMTC</w:t>
      </w:r>
      <w:r w:rsidRPr="00B73938">
        <w:rPr>
          <w:rFonts w:eastAsia="MS Mincho"/>
          <w:lang w:val="en-US" w:eastAsia="ja-JP"/>
        </w:rPr>
        <w:t xml:space="preserve"> UE is measuring RSTDs in a dense deployment. However, while considering sparsely deployed scenarios or deeply indoor situations </w:t>
      </w:r>
      <w:r w:rsidRPr="00B73938">
        <w:rPr>
          <w:rFonts w:eastAsia="MS Mincho"/>
          <w:lang w:val="en-US" w:eastAsia="ja-JP"/>
        </w:rPr>
        <w:lastRenderedPageBreak/>
        <w:t xml:space="preserve">where the UE is only capable of hearing few number of cells, the frequency reuse of 6 is </w:t>
      </w:r>
      <w:r w:rsidR="00F95397">
        <w:rPr>
          <w:rFonts w:eastAsia="MS Mincho"/>
          <w:lang w:val="en-US" w:eastAsia="ja-JP"/>
        </w:rPr>
        <w:t>an</w:t>
      </w:r>
      <w:r w:rsidRPr="00B73938">
        <w:rPr>
          <w:rFonts w:eastAsia="MS Mincho"/>
          <w:lang w:val="en-US" w:eastAsia="ja-JP"/>
        </w:rPr>
        <w:t xml:space="preserve"> inefficient resource usage of PRS.</w:t>
      </w:r>
      <w:r w:rsidR="0063265F">
        <w:rPr>
          <w:rFonts w:eastAsia="MS Mincho"/>
          <w:lang w:val="en-US" w:eastAsia="ja-JP"/>
        </w:rPr>
        <w:t xml:space="preserve"> Also, the frequency reuse factor might need to be lowered in order for the UE to detect a weak TP.</w:t>
      </w:r>
      <w:r w:rsidR="00F95397">
        <w:rPr>
          <w:rFonts w:eastAsia="MS Mincho"/>
          <w:lang w:val="en-US" w:eastAsia="ja-JP"/>
        </w:rPr>
        <w:t xml:space="preserve"> The support of </w:t>
      </w:r>
      <w:r w:rsidR="00D10DAA">
        <w:rPr>
          <w:rFonts w:eastAsia="MS Mincho"/>
          <w:lang w:val="en-US" w:eastAsia="ja-JP"/>
        </w:rPr>
        <w:t>lowering</w:t>
      </w:r>
      <w:r w:rsidR="00F95397">
        <w:rPr>
          <w:rFonts w:eastAsia="MS Mincho"/>
          <w:lang w:val="en-US" w:eastAsia="ja-JP"/>
        </w:rPr>
        <w:t xml:space="preserve"> the </w:t>
      </w:r>
      <w:r w:rsidR="00D10DAA">
        <w:rPr>
          <w:rFonts w:eastAsia="MS Mincho"/>
          <w:lang w:val="en-US" w:eastAsia="ja-JP"/>
        </w:rPr>
        <w:t>PRS</w:t>
      </w:r>
      <w:r w:rsidR="00F95397">
        <w:rPr>
          <w:rFonts w:eastAsia="MS Mincho"/>
          <w:lang w:val="en-US" w:eastAsia="ja-JP"/>
        </w:rPr>
        <w:t xml:space="preserve"> frequency reuse</w:t>
      </w:r>
      <w:r w:rsidR="00D10DAA">
        <w:rPr>
          <w:rFonts w:eastAsia="MS Mincho"/>
          <w:lang w:val="en-US" w:eastAsia="ja-JP"/>
        </w:rPr>
        <w:t xml:space="preserve"> factor</w:t>
      </w:r>
      <w:r w:rsidR="00F95397">
        <w:rPr>
          <w:rFonts w:eastAsia="MS Mincho"/>
          <w:lang w:val="en-US" w:eastAsia="ja-JP"/>
        </w:rPr>
        <w:t xml:space="preserve"> </w:t>
      </w:r>
      <w:r w:rsidR="00D10DAA">
        <w:rPr>
          <w:rFonts w:eastAsia="MS Mincho"/>
          <w:lang w:val="en-US" w:eastAsia="ja-JP"/>
        </w:rPr>
        <w:t xml:space="preserve">is possible with the </w:t>
      </w:r>
      <w:r w:rsidR="00F2697A">
        <w:rPr>
          <w:rFonts w:eastAsia="MS Mincho"/>
          <w:lang w:val="en-US" w:eastAsia="ja-JP"/>
        </w:rPr>
        <w:t xml:space="preserve">Rel.14 </w:t>
      </w:r>
      <w:r w:rsidR="00D10DAA">
        <w:rPr>
          <w:rFonts w:eastAsia="MS Mincho"/>
          <w:lang w:val="en-US" w:eastAsia="ja-JP"/>
        </w:rPr>
        <w:t>in</w:t>
      </w:r>
      <w:r w:rsidR="00F95397">
        <w:rPr>
          <w:rFonts w:eastAsia="MS Mincho"/>
          <w:lang w:val="en-US" w:eastAsia="ja-JP"/>
        </w:rPr>
        <w:t xml:space="preserve">troduction of </w:t>
      </w:r>
      <w:r w:rsidR="00F95397" w:rsidRPr="00522464">
        <w:rPr>
          <w:rFonts w:eastAsia="MS Mincho"/>
          <w:i/>
          <w:lang w:val="en-US" w:eastAsia="ja-JP"/>
        </w:rPr>
        <w:t>prsI</w:t>
      </w:r>
      <w:r w:rsidR="00D10DAA" w:rsidRPr="00522464">
        <w:rPr>
          <w:rFonts w:eastAsia="MS Mincho"/>
          <w:i/>
          <w:lang w:val="en-US" w:eastAsia="ja-JP"/>
        </w:rPr>
        <w:t>D</w:t>
      </w:r>
      <w:r w:rsidR="005F6CA0">
        <w:rPr>
          <w:rFonts w:eastAsia="MS Mincho"/>
          <w:lang w:val="en-US" w:eastAsia="ja-JP"/>
        </w:rPr>
        <w:t xml:space="preserve"> and the </w:t>
      </w:r>
      <w:r w:rsidR="005F6CA0" w:rsidRPr="005F6CA0">
        <w:rPr>
          <w:rFonts w:eastAsia="MS Mincho"/>
          <w:i/>
          <w:lang w:val="en-US" w:eastAsia="ja-JP"/>
        </w:rPr>
        <w:t>TP-</w:t>
      </w:r>
      <w:r w:rsidR="00D10DAA" w:rsidRPr="005F6CA0">
        <w:rPr>
          <w:rFonts w:eastAsia="MS Mincho"/>
          <w:i/>
          <w:lang w:val="en-US" w:eastAsia="ja-JP"/>
        </w:rPr>
        <w:t>ID</w:t>
      </w:r>
      <w:r w:rsidR="00D10DAA">
        <w:rPr>
          <w:rFonts w:eastAsia="MS Mincho"/>
          <w:lang w:val="en-US" w:eastAsia="ja-JP"/>
        </w:rPr>
        <w:t xml:space="preserve"> element in LPP.</w:t>
      </w:r>
    </w:p>
    <w:p w14:paraId="6C772805" w14:textId="7B39B7B9" w:rsidR="00D10DAA" w:rsidRDefault="009F6541" w:rsidP="00D6753C">
      <w:pPr>
        <w:rPr>
          <w:rFonts w:eastAsia="MS Mincho"/>
          <w:lang w:val="en-US" w:eastAsia="ja-JP"/>
        </w:rPr>
      </w:pPr>
      <w:r>
        <w:rPr>
          <w:rFonts w:eastAsia="MS Mincho"/>
          <w:lang w:val="en-US" w:eastAsia="ja-JP"/>
        </w:rPr>
        <w:t>S</w:t>
      </w:r>
      <w:r w:rsidR="00A32709">
        <w:rPr>
          <w:rFonts w:eastAsia="MS Mincho"/>
          <w:lang w:val="en-US" w:eastAsia="ja-JP"/>
        </w:rPr>
        <w:t xml:space="preserve">ince the </w:t>
      </w:r>
      <w:r w:rsidR="00B73938" w:rsidRPr="00522464">
        <w:rPr>
          <w:rFonts w:eastAsia="MS Mincho"/>
          <w:i/>
          <w:lang w:val="en-US" w:eastAsia="ja-JP"/>
        </w:rPr>
        <w:t>OTDOA-NeighbourCellInfoElement</w:t>
      </w:r>
      <w:r w:rsidR="00B13474" w:rsidRPr="00522464">
        <w:rPr>
          <w:rFonts w:eastAsia="MS Mincho"/>
          <w:i/>
          <w:lang w:val="en-US" w:eastAsia="ja-JP"/>
        </w:rPr>
        <w:t>/OTDOA-ReferenceCellInfo</w:t>
      </w:r>
      <w:r w:rsidR="00B73938" w:rsidRPr="00B73938">
        <w:rPr>
          <w:rFonts w:eastAsia="MS Mincho"/>
          <w:lang w:val="en-US" w:eastAsia="ja-JP"/>
        </w:rPr>
        <w:t xml:space="preserve"> </w:t>
      </w:r>
      <w:r>
        <w:rPr>
          <w:rFonts w:eastAsia="MS Mincho"/>
          <w:lang w:val="en-US" w:eastAsia="ja-JP"/>
        </w:rPr>
        <w:t xml:space="preserve">in LPP </w:t>
      </w:r>
      <w:r w:rsidR="00B73938" w:rsidRPr="00B73938">
        <w:rPr>
          <w:rFonts w:eastAsia="MS Mincho"/>
          <w:lang w:val="en-US" w:eastAsia="ja-JP"/>
        </w:rPr>
        <w:t>is a sequ</w:t>
      </w:r>
      <w:r w:rsidR="00A32709">
        <w:rPr>
          <w:rFonts w:eastAsia="MS Mincho"/>
          <w:lang w:val="en-US" w:eastAsia="ja-JP"/>
        </w:rPr>
        <w:t xml:space="preserve">ence of elements containing </w:t>
      </w:r>
      <w:r w:rsidR="00A32709" w:rsidRPr="00522464">
        <w:rPr>
          <w:rFonts w:eastAsia="MS Mincho"/>
          <w:i/>
          <w:lang w:val="en-US" w:eastAsia="ja-JP"/>
        </w:rPr>
        <w:t>PRS-</w:t>
      </w:r>
      <w:r w:rsidR="00B73938" w:rsidRPr="00522464">
        <w:rPr>
          <w:rFonts w:eastAsia="MS Mincho"/>
          <w:i/>
          <w:lang w:val="en-US" w:eastAsia="ja-JP"/>
        </w:rPr>
        <w:t>info</w:t>
      </w:r>
      <w:r w:rsidR="00B73938" w:rsidRPr="00B73938">
        <w:rPr>
          <w:rFonts w:eastAsia="MS Mincho"/>
          <w:lang w:val="en-US" w:eastAsia="ja-JP"/>
        </w:rPr>
        <w:t xml:space="preserve">, </w:t>
      </w:r>
      <w:r w:rsidR="00E17207">
        <w:rPr>
          <w:rFonts w:eastAsia="MS Mincho"/>
          <w:lang w:val="en-US" w:eastAsia="ja-JP"/>
        </w:rPr>
        <w:t>it is possible to</w:t>
      </w:r>
      <w:r w:rsidR="00B73938" w:rsidRPr="00B73938">
        <w:rPr>
          <w:rFonts w:eastAsia="MS Mincho"/>
          <w:lang w:val="en-US" w:eastAsia="ja-JP"/>
        </w:rPr>
        <w:t xml:space="preserve"> use two or more elements with same </w:t>
      </w:r>
      <w:r w:rsidR="00B73938" w:rsidRPr="005F6CA0">
        <w:rPr>
          <w:rFonts w:eastAsia="MS Mincho"/>
          <w:i/>
          <w:lang w:val="en-US" w:eastAsia="ja-JP"/>
        </w:rPr>
        <w:t>TP-ID</w:t>
      </w:r>
      <w:r w:rsidR="00B73938" w:rsidRPr="00B73938">
        <w:rPr>
          <w:rFonts w:eastAsia="MS Mincho"/>
          <w:lang w:val="en-US" w:eastAsia="ja-JP"/>
        </w:rPr>
        <w:t xml:space="preserve"> but with different </w:t>
      </w:r>
      <w:r w:rsidR="00B73938" w:rsidRPr="00522464">
        <w:rPr>
          <w:rFonts w:eastAsia="MS Mincho"/>
          <w:i/>
          <w:lang w:val="en-US" w:eastAsia="ja-JP"/>
        </w:rPr>
        <w:t>prs-ID</w:t>
      </w:r>
      <w:r w:rsidR="00B73938" w:rsidRPr="00B73938">
        <w:rPr>
          <w:rFonts w:eastAsia="MS Mincho"/>
          <w:lang w:val="en-US" w:eastAsia="ja-JP"/>
        </w:rPr>
        <w:t xml:space="preserve">s in the </w:t>
      </w:r>
      <w:r w:rsidR="00B73938" w:rsidRPr="005F6CA0">
        <w:rPr>
          <w:rFonts w:eastAsia="MS Mincho"/>
          <w:i/>
          <w:lang w:val="en-US" w:eastAsia="ja-JP"/>
        </w:rPr>
        <w:t>PRS-Info</w:t>
      </w:r>
      <w:r w:rsidR="00B73938" w:rsidRPr="00B73938">
        <w:rPr>
          <w:rFonts w:eastAsia="MS Mincho"/>
          <w:lang w:val="en-US" w:eastAsia="ja-JP"/>
        </w:rPr>
        <w:t xml:space="preserve"> element. For example, assume that a neighboring TP with ID 0 should be assigned with </w:t>
      </w:r>
      <w:r w:rsidR="00B73938" w:rsidRPr="005F6CA0">
        <w:rPr>
          <w:rFonts w:eastAsia="MS Mincho"/>
          <w:i/>
          <w:lang w:val="en-US" w:eastAsia="ja-JP"/>
        </w:rPr>
        <w:t>prs-ID</w:t>
      </w:r>
      <w:r w:rsidR="00B73938" w:rsidRPr="00B73938">
        <w:rPr>
          <w:rFonts w:eastAsia="MS Mincho"/>
          <w:lang w:val="en-US" w:eastAsia="ja-JP"/>
        </w:rPr>
        <w:t>s = {0,1}</w:t>
      </w:r>
      <w:r w:rsidR="00D10DAA">
        <w:rPr>
          <w:rFonts w:eastAsia="MS Mincho"/>
          <w:lang w:val="en-US" w:eastAsia="ja-JP"/>
        </w:rPr>
        <w:t xml:space="preserve"> (frequency reuse factor 3)</w:t>
      </w:r>
      <w:r w:rsidR="00B73938" w:rsidRPr="00B73938">
        <w:rPr>
          <w:rFonts w:eastAsia="MS Mincho"/>
          <w:lang w:val="en-US" w:eastAsia="ja-JP"/>
        </w:rPr>
        <w:t xml:space="preserve">. One element in the </w:t>
      </w:r>
      <w:r w:rsidR="00B73938" w:rsidRPr="005F6CA0">
        <w:rPr>
          <w:rFonts w:eastAsia="MS Mincho"/>
          <w:i/>
          <w:lang w:val="en-US" w:eastAsia="ja-JP"/>
        </w:rPr>
        <w:t>OTDOA-NeighbourCellInfoElement</w:t>
      </w:r>
      <w:r w:rsidR="00B73938" w:rsidRPr="00B73938">
        <w:rPr>
          <w:rFonts w:eastAsia="MS Mincho"/>
          <w:lang w:val="en-US" w:eastAsia="ja-JP"/>
        </w:rPr>
        <w:t xml:space="preserve"> comprises </w:t>
      </w:r>
      <w:r w:rsidR="00B73938" w:rsidRPr="005F6CA0">
        <w:rPr>
          <w:rFonts w:eastAsia="MS Mincho"/>
          <w:i/>
          <w:lang w:val="en-US" w:eastAsia="ja-JP"/>
        </w:rPr>
        <w:t>tpID-r14</w:t>
      </w:r>
      <w:r w:rsidR="00B73938" w:rsidRPr="00B73938">
        <w:rPr>
          <w:rFonts w:eastAsia="MS Mincho"/>
          <w:lang w:val="en-US" w:eastAsia="ja-JP"/>
        </w:rPr>
        <w:t xml:space="preserve">=0, </w:t>
      </w:r>
      <w:r w:rsidR="00B73938" w:rsidRPr="005F6CA0">
        <w:rPr>
          <w:rFonts w:eastAsia="MS Mincho"/>
          <w:i/>
          <w:lang w:val="en-US" w:eastAsia="ja-JP"/>
        </w:rPr>
        <w:t>prs-iD-r14</w:t>
      </w:r>
      <w:r w:rsidR="00B73938" w:rsidRPr="00B73938">
        <w:rPr>
          <w:rFonts w:eastAsia="MS Mincho"/>
          <w:lang w:val="en-US" w:eastAsia="ja-JP"/>
        </w:rPr>
        <w:t xml:space="preserve">=0, and another element in </w:t>
      </w:r>
      <w:r w:rsidR="00B73938" w:rsidRPr="005F6CA0">
        <w:rPr>
          <w:rFonts w:eastAsia="MS Mincho"/>
          <w:i/>
          <w:lang w:val="en-US" w:eastAsia="ja-JP"/>
        </w:rPr>
        <w:t>OTDOA-NeighbourCellInfoElement</w:t>
      </w:r>
      <w:r w:rsidR="00B73938" w:rsidRPr="00B73938">
        <w:rPr>
          <w:rFonts w:eastAsia="MS Mincho"/>
          <w:lang w:val="en-US" w:eastAsia="ja-JP"/>
        </w:rPr>
        <w:t xml:space="preserve"> </w:t>
      </w:r>
      <w:r w:rsidR="008809F1">
        <w:rPr>
          <w:rFonts w:eastAsia="MS Mincho"/>
          <w:lang w:val="en-US" w:eastAsia="ja-JP"/>
        </w:rPr>
        <w:t xml:space="preserve">contains </w:t>
      </w:r>
      <w:r w:rsidR="00B73938" w:rsidRPr="005F6CA0">
        <w:rPr>
          <w:rFonts w:eastAsia="MS Mincho"/>
          <w:i/>
          <w:lang w:val="en-US" w:eastAsia="ja-JP"/>
        </w:rPr>
        <w:t>tpID-r14</w:t>
      </w:r>
      <w:r w:rsidR="00B73938" w:rsidRPr="00B73938">
        <w:rPr>
          <w:rFonts w:eastAsia="MS Mincho"/>
          <w:lang w:val="en-US" w:eastAsia="ja-JP"/>
        </w:rPr>
        <w:t xml:space="preserve">=0, </w:t>
      </w:r>
      <w:r w:rsidR="00B73938" w:rsidRPr="005F6CA0">
        <w:rPr>
          <w:rFonts w:eastAsia="MS Mincho"/>
          <w:i/>
          <w:lang w:val="en-US" w:eastAsia="ja-JP"/>
        </w:rPr>
        <w:t>prs-iD-r14</w:t>
      </w:r>
      <w:r w:rsidR="00B73938" w:rsidRPr="00B73938">
        <w:rPr>
          <w:rFonts w:eastAsia="MS Mincho"/>
          <w:lang w:val="en-US" w:eastAsia="ja-JP"/>
        </w:rPr>
        <w:t>=1.</w:t>
      </w:r>
      <w:r w:rsidR="008809F1">
        <w:rPr>
          <w:rFonts w:eastAsia="MS Mincho"/>
          <w:lang w:val="en-US" w:eastAsia="ja-JP"/>
        </w:rPr>
        <w:t xml:space="preserve"> </w:t>
      </w:r>
      <w:r w:rsidR="00E17207">
        <w:rPr>
          <w:rFonts w:eastAsia="MS Mincho"/>
          <w:lang w:val="en-US" w:eastAsia="ja-JP"/>
        </w:rPr>
        <w:t>Similar to supporting multiple PRS bandwidths per TP, t</w:t>
      </w:r>
      <w:r w:rsidR="00D10DAA">
        <w:rPr>
          <w:rFonts w:eastAsia="MS Mincho"/>
          <w:lang w:val="en-US" w:eastAsia="ja-JP"/>
        </w:rPr>
        <w:t xml:space="preserve">he UE should be aware that it is possible with multiple </w:t>
      </w:r>
      <w:r w:rsidR="00D10DAA" w:rsidRPr="005F6CA0">
        <w:rPr>
          <w:rFonts w:eastAsia="MS Mincho"/>
          <w:i/>
          <w:lang w:val="en-US" w:eastAsia="ja-JP"/>
        </w:rPr>
        <w:t>prs-ID</w:t>
      </w:r>
      <w:r w:rsidR="00D10DAA">
        <w:rPr>
          <w:rFonts w:eastAsia="MS Mincho"/>
          <w:lang w:val="en-US" w:eastAsia="ja-JP"/>
        </w:rPr>
        <w:t>s per TP in order to coherently combine the</w:t>
      </w:r>
      <w:r w:rsidR="00E17207">
        <w:rPr>
          <w:rFonts w:eastAsia="MS Mincho"/>
          <w:lang w:val="en-US" w:eastAsia="ja-JP"/>
        </w:rPr>
        <w:t xml:space="preserve"> two signals when forming RSTDs.</w:t>
      </w:r>
    </w:p>
    <w:p w14:paraId="13F5C556" w14:textId="0ACF897D" w:rsidR="00AA1852" w:rsidRDefault="009B377F" w:rsidP="00D6753C">
      <w:pPr>
        <w:rPr>
          <w:rFonts w:eastAsia="MS Mincho"/>
          <w:b/>
          <w:lang w:val="en-US" w:eastAsia="ja-JP"/>
        </w:rPr>
      </w:pPr>
      <w:r>
        <w:rPr>
          <w:rFonts w:eastAsia="MS Mincho"/>
          <w:b/>
          <w:lang w:val="en-US" w:eastAsia="ja-JP"/>
        </w:rPr>
        <w:t>Proposal 8</w:t>
      </w:r>
      <w:r w:rsidR="00AA1852" w:rsidRPr="00AA1852">
        <w:rPr>
          <w:rFonts w:eastAsia="MS Mincho"/>
          <w:b/>
          <w:lang w:val="en-US" w:eastAsia="ja-JP"/>
        </w:rPr>
        <w:t xml:space="preserve">: </w:t>
      </w:r>
      <w:r w:rsidR="00AA1852">
        <w:rPr>
          <w:rFonts w:eastAsia="MS Mincho"/>
          <w:b/>
          <w:lang w:val="en-US" w:eastAsia="ja-JP"/>
        </w:rPr>
        <w:t>A</w:t>
      </w:r>
      <w:r w:rsidR="00AA1852" w:rsidRPr="00AA1852">
        <w:rPr>
          <w:rFonts w:eastAsia="MS Mincho"/>
          <w:b/>
          <w:lang w:val="en-US" w:eastAsia="ja-JP"/>
        </w:rPr>
        <w:t xml:space="preserve"> UE should be aware that multiple PRS-configurations</w:t>
      </w:r>
      <w:r w:rsidR="000B1523">
        <w:rPr>
          <w:rFonts w:eastAsia="MS Mincho"/>
          <w:b/>
          <w:lang w:val="en-US" w:eastAsia="ja-JP"/>
        </w:rPr>
        <w:t xml:space="preserve"> with different </w:t>
      </w:r>
      <w:r w:rsidR="000B1523" w:rsidRPr="00873399">
        <w:rPr>
          <w:rFonts w:eastAsia="MS Mincho"/>
          <w:b/>
          <w:i/>
          <w:lang w:val="en-US" w:eastAsia="ja-JP"/>
        </w:rPr>
        <w:t>prs-ID</w:t>
      </w:r>
      <w:r w:rsidR="000B1523">
        <w:rPr>
          <w:rFonts w:eastAsia="MS Mincho"/>
          <w:b/>
          <w:lang w:val="en-US" w:eastAsia="ja-JP"/>
        </w:rPr>
        <w:t>s</w:t>
      </w:r>
      <w:r w:rsidR="00AA1852" w:rsidRPr="00AA1852">
        <w:rPr>
          <w:rFonts w:eastAsia="MS Mincho"/>
          <w:b/>
          <w:lang w:val="en-US" w:eastAsia="ja-JP"/>
        </w:rPr>
        <w:t xml:space="preserve"> can occur for one TP ID</w:t>
      </w:r>
      <w:r w:rsidR="00522464">
        <w:rPr>
          <w:rFonts w:eastAsia="MS Mincho"/>
          <w:b/>
          <w:lang w:val="en-US" w:eastAsia="ja-JP"/>
        </w:rPr>
        <w:t>.</w:t>
      </w:r>
    </w:p>
    <w:p w14:paraId="7CF50D38" w14:textId="1834077F" w:rsidR="00C70137" w:rsidRDefault="00D10DAA" w:rsidP="00C70137">
      <w:pPr>
        <w:pStyle w:val="TextBody"/>
        <w:rPr>
          <w:rStyle w:val="PlaceholderText"/>
          <w:color w:val="auto"/>
          <w:sz w:val="20"/>
        </w:rPr>
      </w:pPr>
      <w:r>
        <w:rPr>
          <w:rStyle w:val="PlaceholderText"/>
          <w:color w:val="auto"/>
          <w:sz w:val="20"/>
        </w:rPr>
        <w:t>Using existing signaling, enabling lower frequency reuse factor creates a</w:t>
      </w:r>
      <w:r w:rsidR="00F22B1F">
        <w:rPr>
          <w:rStyle w:val="PlaceholderText"/>
          <w:color w:val="auto"/>
          <w:sz w:val="20"/>
        </w:rPr>
        <w:t>n</w:t>
      </w:r>
      <w:r>
        <w:rPr>
          <w:rStyle w:val="PlaceholderText"/>
          <w:color w:val="auto"/>
          <w:sz w:val="20"/>
        </w:rPr>
        <w:t xml:space="preserve"> </w:t>
      </w:r>
      <w:r w:rsidR="00F22B1F">
        <w:rPr>
          <w:rStyle w:val="PlaceholderText"/>
          <w:color w:val="auto"/>
          <w:sz w:val="20"/>
        </w:rPr>
        <w:t xml:space="preserve">unnecessary large </w:t>
      </w:r>
      <w:r>
        <w:rPr>
          <w:rStyle w:val="PlaceholderText"/>
          <w:color w:val="auto"/>
          <w:sz w:val="20"/>
        </w:rPr>
        <w:t xml:space="preserve">overhead in the signaling since most elements for </w:t>
      </w:r>
      <w:r w:rsidR="00F22B1F">
        <w:rPr>
          <w:rStyle w:val="PlaceholderText"/>
          <w:color w:val="auto"/>
          <w:sz w:val="20"/>
        </w:rPr>
        <w:t>one</w:t>
      </w:r>
      <w:r>
        <w:rPr>
          <w:rStyle w:val="PlaceholderText"/>
          <w:color w:val="auto"/>
          <w:sz w:val="20"/>
        </w:rPr>
        <w:t xml:space="preserve"> </w:t>
      </w:r>
      <w:r w:rsidRPr="00522464">
        <w:rPr>
          <w:rStyle w:val="PlaceholderText"/>
          <w:i/>
          <w:color w:val="auto"/>
          <w:sz w:val="20"/>
        </w:rPr>
        <w:t>TP-ID</w:t>
      </w:r>
      <w:r>
        <w:rPr>
          <w:rStyle w:val="PlaceholderText"/>
          <w:color w:val="auto"/>
          <w:sz w:val="20"/>
        </w:rPr>
        <w:t xml:space="preserve"> is similar, and the typical </w:t>
      </w:r>
      <w:r w:rsidR="0069221E">
        <w:rPr>
          <w:rStyle w:val="PlaceholderText"/>
          <w:color w:val="auto"/>
          <w:sz w:val="20"/>
        </w:rPr>
        <w:t>difference</w:t>
      </w:r>
      <w:r>
        <w:rPr>
          <w:rStyle w:val="PlaceholderText"/>
          <w:color w:val="auto"/>
          <w:sz w:val="20"/>
        </w:rPr>
        <w:t xml:space="preserve"> </w:t>
      </w:r>
      <w:r w:rsidR="0048121F">
        <w:rPr>
          <w:rStyle w:val="PlaceholderText"/>
          <w:color w:val="auto"/>
          <w:sz w:val="20"/>
        </w:rPr>
        <w:t xml:space="preserve">when decreasing the frequency reuse factor </w:t>
      </w:r>
      <w:r>
        <w:rPr>
          <w:rStyle w:val="PlaceholderText"/>
          <w:color w:val="auto"/>
          <w:sz w:val="20"/>
        </w:rPr>
        <w:t xml:space="preserve">is the </w:t>
      </w:r>
      <w:r w:rsidRPr="00522464">
        <w:rPr>
          <w:rStyle w:val="PlaceholderText"/>
          <w:i/>
          <w:color w:val="auto"/>
          <w:sz w:val="20"/>
        </w:rPr>
        <w:t>prs-ID</w:t>
      </w:r>
      <w:r w:rsidR="000F46AD">
        <w:rPr>
          <w:rStyle w:val="PlaceholderText"/>
          <w:color w:val="auto"/>
          <w:sz w:val="20"/>
        </w:rPr>
        <w:t>.</w:t>
      </w:r>
      <w:r w:rsidR="00F22B1F">
        <w:rPr>
          <w:rStyle w:val="PlaceholderText"/>
          <w:color w:val="auto"/>
          <w:sz w:val="20"/>
        </w:rPr>
        <w:t xml:space="preserve"> </w:t>
      </w:r>
      <w:r>
        <w:rPr>
          <w:rStyle w:val="PlaceholderText"/>
          <w:color w:val="auto"/>
          <w:sz w:val="20"/>
        </w:rPr>
        <w:t>In order to reduce the overhead in terms of signaling, it is beneficial to only include the</w:t>
      </w:r>
      <w:r w:rsidR="00F85F5B">
        <w:rPr>
          <w:rStyle w:val="PlaceholderText"/>
          <w:color w:val="auto"/>
          <w:sz w:val="20"/>
        </w:rPr>
        <w:t xml:space="preserve"> set of</w:t>
      </w:r>
      <w:r>
        <w:rPr>
          <w:rStyle w:val="PlaceholderText"/>
          <w:color w:val="auto"/>
          <w:sz w:val="20"/>
        </w:rPr>
        <w:t xml:space="preserve"> </w:t>
      </w:r>
      <w:r w:rsidRPr="00522464">
        <w:rPr>
          <w:rStyle w:val="PlaceholderText"/>
          <w:i/>
          <w:color w:val="auto"/>
          <w:sz w:val="20"/>
        </w:rPr>
        <w:t>prs-ID</w:t>
      </w:r>
      <w:r>
        <w:rPr>
          <w:rStyle w:val="PlaceholderText"/>
          <w:color w:val="auto"/>
          <w:sz w:val="20"/>
        </w:rPr>
        <w:t xml:space="preserve">s for </w:t>
      </w:r>
      <w:r w:rsidR="001A498A">
        <w:rPr>
          <w:rStyle w:val="PlaceholderText"/>
          <w:color w:val="auto"/>
          <w:sz w:val="20"/>
        </w:rPr>
        <w:t>a</w:t>
      </w:r>
      <w:r>
        <w:rPr>
          <w:rStyle w:val="PlaceholderText"/>
          <w:color w:val="auto"/>
          <w:sz w:val="20"/>
        </w:rPr>
        <w:t xml:space="preserve"> TP</w:t>
      </w:r>
      <w:r w:rsidR="00F85F5B">
        <w:rPr>
          <w:rStyle w:val="PlaceholderText"/>
          <w:color w:val="auto"/>
          <w:sz w:val="20"/>
        </w:rPr>
        <w:t xml:space="preserve"> </w:t>
      </w:r>
      <w:r w:rsidR="00D1244C" w:rsidRPr="00522464">
        <w:rPr>
          <w:rStyle w:val="PlaceholderText"/>
          <w:i/>
          <w:color w:val="auto"/>
          <w:sz w:val="20"/>
        </w:rPr>
        <w:t>O</w:t>
      </w:r>
      <w:r w:rsidR="00F85F5B" w:rsidRPr="00522464">
        <w:rPr>
          <w:rStyle w:val="PlaceholderText"/>
          <w:i/>
          <w:color w:val="auto"/>
          <w:sz w:val="20"/>
        </w:rPr>
        <w:t>TDOA-NeighbourCellInfoElement</w:t>
      </w:r>
      <w:r>
        <w:rPr>
          <w:rStyle w:val="PlaceholderText"/>
          <w:color w:val="auto"/>
          <w:sz w:val="20"/>
        </w:rPr>
        <w:t>.</w:t>
      </w:r>
      <w:r w:rsidR="00F85F5B">
        <w:rPr>
          <w:rStyle w:val="PlaceholderText"/>
          <w:color w:val="auto"/>
          <w:sz w:val="20"/>
        </w:rPr>
        <w:t xml:space="preserve"> </w:t>
      </w:r>
      <w:r>
        <w:rPr>
          <w:rStyle w:val="PlaceholderText"/>
          <w:color w:val="auto"/>
          <w:sz w:val="20"/>
        </w:rPr>
        <w:t xml:space="preserve">One </w:t>
      </w:r>
      <w:r w:rsidR="00522464">
        <w:rPr>
          <w:rStyle w:val="PlaceholderText"/>
          <w:color w:val="auto"/>
          <w:sz w:val="20"/>
        </w:rPr>
        <w:t>straightforward approach</w:t>
      </w:r>
      <w:r>
        <w:rPr>
          <w:rStyle w:val="PlaceholderText"/>
          <w:color w:val="auto"/>
          <w:sz w:val="20"/>
        </w:rPr>
        <w:t xml:space="preserve"> </w:t>
      </w:r>
      <w:r w:rsidR="00846DDF">
        <w:rPr>
          <w:rStyle w:val="PlaceholderText"/>
          <w:color w:val="auto"/>
          <w:sz w:val="20"/>
        </w:rPr>
        <w:t>can be</w:t>
      </w:r>
      <w:r>
        <w:rPr>
          <w:rStyle w:val="PlaceholderText"/>
          <w:color w:val="auto"/>
          <w:sz w:val="20"/>
        </w:rPr>
        <w:t xml:space="preserve"> to introduce </w:t>
      </w:r>
      <w:r w:rsidR="00846DDF">
        <w:rPr>
          <w:rStyle w:val="PlaceholderText"/>
          <w:color w:val="auto"/>
          <w:sz w:val="20"/>
        </w:rPr>
        <w:t xml:space="preserve">an element </w:t>
      </w:r>
      <w:r w:rsidRPr="0029255D">
        <w:rPr>
          <w:rStyle w:val="PlaceholderText"/>
          <w:i/>
          <w:color w:val="auto"/>
          <w:sz w:val="20"/>
        </w:rPr>
        <w:t>extraPRSIDList</w:t>
      </w:r>
      <w:r w:rsidR="00846DDF">
        <w:rPr>
          <w:rStyle w:val="PlaceholderText"/>
          <w:color w:val="auto"/>
          <w:sz w:val="20"/>
        </w:rPr>
        <w:t xml:space="preserve"> to have an efficient method of introducing multiple PRS IDs</w:t>
      </w:r>
      <w:r w:rsidR="00522464">
        <w:rPr>
          <w:rStyle w:val="PlaceholderText"/>
          <w:color w:val="auto"/>
          <w:sz w:val="20"/>
        </w:rPr>
        <w:t>.</w:t>
      </w:r>
      <w:r w:rsidR="00C70137">
        <w:rPr>
          <w:rStyle w:val="PlaceholderText"/>
          <w:color w:val="auto"/>
          <w:sz w:val="20"/>
        </w:rPr>
        <w:t xml:space="preserve"> </w:t>
      </w:r>
    </w:p>
    <w:p w14:paraId="7C407736" w14:textId="775F2FF9" w:rsidR="00AA1852" w:rsidRPr="00AA1852" w:rsidRDefault="009B377F" w:rsidP="00D6753C">
      <w:pPr>
        <w:rPr>
          <w:rFonts w:eastAsia="MS Mincho"/>
          <w:b/>
          <w:lang w:val="en-US" w:eastAsia="ja-JP"/>
        </w:rPr>
      </w:pPr>
      <w:r>
        <w:rPr>
          <w:rFonts w:eastAsia="MS Mincho"/>
          <w:b/>
          <w:lang w:val="en-US" w:eastAsia="ja-JP"/>
        </w:rPr>
        <w:t>Proposal 9</w:t>
      </w:r>
      <w:r w:rsidR="00AA1852">
        <w:rPr>
          <w:rFonts w:eastAsia="MS Mincho"/>
          <w:b/>
          <w:lang w:val="en-US" w:eastAsia="ja-JP"/>
        </w:rPr>
        <w:t>: Add a</w:t>
      </w:r>
      <w:r w:rsidR="00415130">
        <w:rPr>
          <w:rFonts w:eastAsia="MS Mincho"/>
          <w:b/>
          <w:lang w:val="en-US" w:eastAsia="ja-JP"/>
        </w:rPr>
        <w:t>n</w:t>
      </w:r>
      <w:r w:rsidR="00AA1852">
        <w:rPr>
          <w:rFonts w:eastAsia="MS Mincho"/>
          <w:b/>
          <w:lang w:val="en-US" w:eastAsia="ja-JP"/>
        </w:rPr>
        <w:t xml:space="preserve"> </w:t>
      </w:r>
      <w:r w:rsidR="00846DDF" w:rsidRPr="00522464">
        <w:rPr>
          <w:rFonts w:eastAsia="MS Mincho"/>
          <w:b/>
          <w:i/>
          <w:lang w:val="en-US" w:eastAsia="ja-JP"/>
        </w:rPr>
        <w:t>e</w:t>
      </w:r>
      <w:r w:rsidR="0074526C" w:rsidRPr="00522464">
        <w:rPr>
          <w:rFonts w:eastAsia="MS Mincho"/>
          <w:b/>
          <w:i/>
          <w:lang w:val="en-US" w:eastAsia="ja-JP"/>
        </w:rPr>
        <w:t>xtraPrsIDList</w:t>
      </w:r>
      <w:r w:rsidR="0074526C" w:rsidRPr="0074526C">
        <w:rPr>
          <w:rFonts w:eastAsia="MS Mincho"/>
          <w:b/>
          <w:lang w:val="en-US" w:eastAsia="ja-JP"/>
        </w:rPr>
        <w:t xml:space="preserve"> </w:t>
      </w:r>
      <w:r w:rsidR="00AA1852">
        <w:rPr>
          <w:rFonts w:eastAsia="MS Mincho"/>
          <w:b/>
          <w:lang w:val="en-US" w:eastAsia="ja-JP"/>
        </w:rPr>
        <w:t>element in order to reduce the</w:t>
      </w:r>
      <w:r w:rsidR="00672B13">
        <w:rPr>
          <w:rFonts w:eastAsia="MS Mincho"/>
          <w:b/>
          <w:lang w:val="en-US" w:eastAsia="ja-JP"/>
        </w:rPr>
        <w:t xml:space="preserve"> signaling when </w:t>
      </w:r>
      <w:r w:rsidR="00FE6521">
        <w:rPr>
          <w:rFonts w:eastAsia="MS Mincho"/>
          <w:b/>
          <w:lang w:val="en-US" w:eastAsia="ja-JP"/>
        </w:rPr>
        <w:t>decreasing</w:t>
      </w:r>
      <w:r w:rsidR="00672B13">
        <w:rPr>
          <w:rFonts w:eastAsia="MS Mincho"/>
          <w:b/>
          <w:lang w:val="en-US" w:eastAsia="ja-JP"/>
        </w:rPr>
        <w:t xml:space="preserve"> the frequency reuse</w:t>
      </w:r>
      <w:r w:rsidR="00F72106">
        <w:rPr>
          <w:rFonts w:eastAsia="MS Mincho"/>
          <w:b/>
          <w:lang w:val="en-US" w:eastAsia="ja-JP"/>
        </w:rPr>
        <w:t xml:space="preserve"> factor</w:t>
      </w:r>
      <w:r w:rsidR="00522464">
        <w:rPr>
          <w:rFonts w:eastAsia="MS Mincho"/>
          <w:b/>
          <w:lang w:val="en-US" w:eastAsia="ja-JP"/>
        </w:rPr>
        <w:t>.</w:t>
      </w:r>
    </w:p>
    <w:p w14:paraId="69604CDC" w14:textId="7A72F937" w:rsidR="00055FB3" w:rsidRPr="00E330BC" w:rsidRDefault="00055FB3" w:rsidP="00055FB3">
      <w:pPr>
        <w:pStyle w:val="Heading1"/>
      </w:pPr>
      <w:r>
        <w:t>Conclusions</w:t>
      </w:r>
    </w:p>
    <w:p w14:paraId="77C6AC69" w14:textId="6C769FEB" w:rsidR="00F5532D" w:rsidRPr="00E76FE1" w:rsidRDefault="00511F61" w:rsidP="00C2598B">
      <w:pPr>
        <w:pStyle w:val="BodyText"/>
        <w:rPr>
          <w:rFonts w:eastAsia="MS Mincho"/>
          <w:lang w:eastAsia="ja-JP"/>
        </w:rPr>
      </w:pPr>
      <w:r>
        <w:t xml:space="preserve">In this contribution, we have </w:t>
      </w:r>
      <w:r w:rsidR="009C56AA" w:rsidRPr="009C56AA">
        <w:t>discuss</w:t>
      </w:r>
      <w:r w:rsidR="009C56AA">
        <w:t>ed</w:t>
      </w:r>
      <w:r w:rsidR="009C56AA" w:rsidRPr="009C56AA">
        <w:t xml:space="preserve"> </w:t>
      </w:r>
      <w:r w:rsidR="00BD3EA2" w:rsidRPr="00BD3EA2">
        <w:t>the remaining issues of OTDOA enhancements for FeMTC.</w:t>
      </w:r>
      <w:r w:rsidR="009C56AA">
        <w:t xml:space="preserve"> and </w:t>
      </w:r>
      <w:r w:rsidR="005A5F02">
        <w:t>made the following proposals</w:t>
      </w:r>
      <w:r w:rsidR="00F5532D">
        <w:t>.</w:t>
      </w:r>
    </w:p>
    <w:p w14:paraId="79823539" w14:textId="0463EC00" w:rsidR="009B377F" w:rsidRDefault="009B377F" w:rsidP="009B377F">
      <w:pPr>
        <w:rPr>
          <w:rFonts w:eastAsia="MS Mincho"/>
          <w:b/>
          <w:iCs/>
          <w:lang w:val="en-US" w:eastAsia="ja-JP"/>
        </w:rPr>
      </w:pPr>
      <w:r w:rsidRPr="00951405">
        <w:rPr>
          <w:rFonts w:eastAsia="MS Mincho"/>
          <w:b/>
          <w:iCs/>
          <w:lang w:val="en-US" w:eastAsia="ja-JP"/>
        </w:rPr>
        <w:t xml:space="preserve">Proposal 1: RAN1 does not introduce </w:t>
      </w:r>
      <w:r w:rsidRPr="00951405">
        <w:rPr>
          <w:b/>
        </w:rPr>
        <w:t>a</w:t>
      </w:r>
      <w:r w:rsidRPr="00951405">
        <w:rPr>
          <w:rFonts w:eastAsia="MS Mincho"/>
          <w:b/>
          <w:iCs/>
          <w:lang w:val="en-US" w:eastAsia="ja-JP"/>
        </w:rPr>
        <w:t xml:space="preserve">n optional finer muting pattern in </w:t>
      </w:r>
      <w:r w:rsidRPr="00951405">
        <w:rPr>
          <w:rFonts w:cs="Arial"/>
          <w:b/>
          <w:lang w:val="en-US"/>
        </w:rPr>
        <w:t>OTDOA enhancements for FeMTC</w:t>
      </w:r>
      <w:r>
        <w:rPr>
          <w:rFonts w:cs="Arial"/>
          <w:b/>
          <w:lang w:val="en-US"/>
        </w:rPr>
        <w:t xml:space="preserve"> in Release 14</w:t>
      </w:r>
      <w:r w:rsidRPr="00951405">
        <w:rPr>
          <w:rFonts w:eastAsia="MS Mincho"/>
          <w:b/>
          <w:iCs/>
          <w:lang w:val="en-US" w:eastAsia="ja-JP"/>
        </w:rPr>
        <w:t>.</w:t>
      </w:r>
    </w:p>
    <w:p w14:paraId="52B97631" w14:textId="77777777" w:rsidR="009B377F" w:rsidRDefault="009B377F" w:rsidP="009B377F">
      <w:pPr>
        <w:rPr>
          <w:rFonts w:eastAsia="MS Mincho"/>
          <w:b/>
          <w:iCs/>
          <w:lang w:val="en-US" w:eastAsia="ja-JP"/>
        </w:rPr>
      </w:pPr>
      <w:r w:rsidRPr="00047015">
        <w:rPr>
          <w:rFonts w:eastAsia="MS Mincho"/>
          <w:b/>
          <w:iCs/>
          <w:lang w:val="en-US" w:eastAsia="ja-JP"/>
        </w:rPr>
        <w:t xml:space="preserve">Proposal 2: PRS frequency hopping interval is </w:t>
      </w:r>
      <w:r>
        <w:rPr>
          <w:rFonts w:eastAsia="MS Mincho"/>
          <w:b/>
          <w:iCs/>
          <w:lang w:val="en-US" w:eastAsia="ja-JP"/>
        </w:rPr>
        <w:t>one PRS occasion</w:t>
      </w:r>
      <w:r w:rsidRPr="00047015">
        <w:rPr>
          <w:rFonts w:eastAsia="MS Mincho"/>
          <w:b/>
          <w:iCs/>
          <w:lang w:val="en-US" w:eastAsia="ja-JP"/>
        </w:rPr>
        <w:t xml:space="preserve">. </w:t>
      </w:r>
    </w:p>
    <w:p w14:paraId="52756DEB" w14:textId="77777777" w:rsidR="009B377F" w:rsidRPr="002E1A17" w:rsidRDefault="009B377F" w:rsidP="009B377F">
      <w:pPr>
        <w:rPr>
          <w:rFonts w:eastAsia="MS Mincho"/>
          <w:b/>
          <w:iCs/>
          <w:lang w:val="en-US" w:eastAsia="ja-JP"/>
        </w:rPr>
      </w:pPr>
      <w:r w:rsidRPr="00047015">
        <w:rPr>
          <w:rFonts w:eastAsia="MS Mincho"/>
          <w:b/>
          <w:iCs/>
          <w:lang w:val="en-US" w:eastAsia="ja-JP"/>
        </w:rPr>
        <w:t xml:space="preserve">Proposal </w:t>
      </w:r>
      <w:r>
        <w:rPr>
          <w:rFonts w:eastAsia="MS Mincho"/>
          <w:b/>
          <w:iCs/>
          <w:lang w:val="en-US" w:eastAsia="ja-JP"/>
        </w:rPr>
        <w:t>3</w:t>
      </w:r>
      <w:r w:rsidRPr="00047015">
        <w:rPr>
          <w:rFonts w:eastAsia="MS Mincho"/>
          <w:b/>
          <w:iCs/>
          <w:lang w:val="en-US" w:eastAsia="ja-JP"/>
        </w:rPr>
        <w:t xml:space="preserve">: PRS frequency hopping </w:t>
      </w:r>
      <w:r>
        <w:rPr>
          <w:rFonts w:eastAsia="MS Mincho"/>
          <w:b/>
          <w:iCs/>
          <w:lang w:val="en-US" w:eastAsia="ja-JP"/>
        </w:rPr>
        <w:t>is only supported for PRS with bandwidth of 6 PRBs</w:t>
      </w:r>
      <w:r w:rsidRPr="00047015">
        <w:rPr>
          <w:rFonts w:eastAsia="MS Mincho"/>
          <w:b/>
          <w:iCs/>
          <w:lang w:val="en-US" w:eastAsia="ja-JP"/>
        </w:rPr>
        <w:t xml:space="preserve">. </w:t>
      </w:r>
    </w:p>
    <w:p w14:paraId="5812152C" w14:textId="77777777" w:rsidR="009B377F" w:rsidRPr="00623C92" w:rsidRDefault="009B377F" w:rsidP="009B377F">
      <w:pPr>
        <w:rPr>
          <w:b/>
        </w:rPr>
      </w:pPr>
      <w:r w:rsidRPr="00B40BF0">
        <w:rPr>
          <w:b/>
        </w:rPr>
        <w:t xml:space="preserve">Proposal </w:t>
      </w:r>
      <w:r>
        <w:rPr>
          <w:b/>
        </w:rPr>
        <w:t>4</w:t>
      </w:r>
      <w:r w:rsidRPr="00B40BF0">
        <w:rPr>
          <w:b/>
        </w:rPr>
        <w:t>: The starting subframe of PRS frequency hopping is the first</w:t>
      </w:r>
      <w:r>
        <w:rPr>
          <w:b/>
        </w:rPr>
        <w:t xml:space="preserve"> PRS subframe in each legacy PRS period</w:t>
      </w:r>
      <w:r w:rsidRPr="00B40BF0">
        <w:rPr>
          <w:b/>
        </w:rPr>
        <w:t>.</w:t>
      </w:r>
    </w:p>
    <w:p w14:paraId="2AC7F63E" w14:textId="77777777" w:rsidR="009B377F" w:rsidRDefault="009B377F" w:rsidP="009B377F">
      <w:pPr>
        <w:overflowPunct/>
        <w:autoSpaceDE/>
        <w:autoSpaceDN/>
        <w:adjustRightInd/>
        <w:spacing w:after="0"/>
        <w:jc w:val="left"/>
        <w:textAlignment w:val="auto"/>
        <w:rPr>
          <w:rFonts w:eastAsia="MS Mincho"/>
          <w:b/>
          <w:iCs/>
          <w:lang w:val="en-US" w:eastAsia="ja-JP"/>
        </w:rPr>
      </w:pPr>
      <w:r w:rsidRPr="001C15C6">
        <w:rPr>
          <w:b/>
        </w:rPr>
        <w:t xml:space="preserve">Proposal </w:t>
      </w:r>
      <w:r>
        <w:rPr>
          <w:b/>
        </w:rPr>
        <w:t>5</w:t>
      </w:r>
      <w:r w:rsidRPr="001C15C6">
        <w:rPr>
          <w:b/>
        </w:rPr>
        <w:t xml:space="preserve">: RAN1 agrees that </w:t>
      </w:r>
      <w:r w:rsidRPr="001C15C6">
        <w:rPr>
          <w:rFonts w:eastAsia="MS Mincho"/>
          <w:b/>
          <w:iCs/>
          <w:lang w:val="en-US" w:eastAsia="ja-JP"/>
        </w:rPr>
        <w:t>when frequency hopping is enabled, the UE can assume that the same precoder is used within one frequency hopping interval.</w:t>
      </w:r>
    </w:p>
    <w:p w14:paraId="2D15EBEE" w14:textId="77777777" w:rsidR="009B377F" w:rsidRDefault="009B377F" w:rsidP="009B377F">
      <w:pPr>
        <w:overflowPunct/>
        <w:autoSpaceDE/>
        <w:autoSpaceDN/>
        <w:adjustRightInd/>
        <w:spacing w:after="0"/>
        <w:jc w:val="left"/>
        <w:textAlignment w:val="auto"/>
        <w:rPr>
          <w:rFonts w:eastAsia="MS Mincho"/>
          <w:b/>
          <w:iCs/>
          <w:lang w:val="en-US" w:eastAsia="ja-JP"/>
        </w:rPr>
      </w:pPr>
    </w:p>
    <w:p w14:paraId="3B9CF625" w14:textId="6E89873C" w:rsidR="009B377F" w:rsidRPr="00664BA7" w:rsidRDefault="009B377F" w:rsidP="009B377F">
      <w:pPr>
        <w:overflowPunct/>
        <w:autoSpaceDE/>
        <w:autoSpaceDN/>
        <w:adjustRightInd/>
        <w:spacing w:after="0"/>
        <w:jc w:val="left"/>
        <w:textAlignment w:val="auto"/>
        <w:rPr>
          <w:rFonts w:eastAsia="MS Mincho"/>
          <w:b/>
          <w:iCs/>
          <w:lang w:val="en-US" w:eastAsia="ja-JP"/>
        </w:rPr>
      </w:pPr>
      <w:r w:rsidRPr="00664BA7">
        <w:rPr>
          <w:rFonts w:eastAsia="MS Mincho"/>
          <w:b/>
          <w:iCs/>
          <w:lang w:val="en-US" w:eastAsia="ja-JP"/>
        </w:rPr>
        <w:t xml:space="preserve">Proposal </w:t>
      </w:r>
      <w:r>
        <w:rPr>
          <w:rFonts w:eastAsia="MS Mincho"/>
          <w:b/>
          <w:iCs/>
          <w:lang w:val="en-US" w:eastAsia="ja-JP"/>
        </w:rPr>
        <w:t>6</w:t>
      </w:r>
      <w:r w:rsidRPr="00664BA7">
        <w:rPr>
          <w:rFonts w:eastAsia="MS Mincho"/>
          <w:b/>
          <w:iCs/>
          <w:lang w:val="en-US" w:eastAsia="ja-JP"/>
        </w:rPr>
        <w:t xml:space="preserve">: RAN1 confirms that </w:t>
      </w:r>
    </w:p>
    <w:p w14:paraId="0F9BB559" w14:textId="77777777" w:rsidR="009B377F" w:rsidRPr="00664BA7" w:rsidRDefault="009B377F" w:rsidP="009B377F">
      <w:pPr>
        <w:pStyle w:val="ListParagraph"/>
        <w:numPr>
          <w:ilvl w:val="0"/>
          <w:numId w:val="47"/>
        </w:numPr>
        <w:overflowPunct/>
        <w:autoSpaceDE/>
        <w:autoSpaceDN/>
        <w:adjustRightInd/>
        <w:spacing w:after="0"/>
        <w:jc w:val="left"/>
        <w:textAlignment w:val="auto"/>
        <w:rPr>
          <w:rFonts w:eastAsia="MS Mincho"/>
          <w:b/>
          <w:iCs/>
          <w:lang w:val="en-US" w:eastAsia="ja-JP"/>
        </w:rPr>
      </w:pPr>
      <w:r w:rsidRPr="00664BA7">
        <w:rPr>
          <w:rFonts w:eastAsia="MS Mincho"/>
          <w:b/>
          <w:iCs/>
          <w:lang w:val="en-US" w:eastAsia="ja-JP"/>
        </w:rPr>
        <w:t>One cell can transmit multiple PRS time-frequency configurations with possibly up to 3 different PRS bandwidths</w:t>
      </w:r>
      <w:r>
        <w:rPr>
          <w:rFonts w:eastAsia="MS Mincho"/>
          <w:b/>
          <w:iCs/>
          <w:lang w:val="en-US" w:eastAsia="ja-JP"/>
        </w:rPr>
        <w:t>.</w:t>
      </w:r>
    </w:p>
    <w:p w14:paraId="6388CAE1" w14:textId="109FB1DA" w:rsidR="009B377F" w:rsidRPr="009B377F" w:rsidRDefault="009B377F" w:rsidP="009B377F">
      <w:pPr>
        <w:pStyle w:val="ListParagraph"/>
        <w:numPr>
          <w:ilvl w:val="0"/>
          <w:numId w:val="47"/>
        </w:numPr>
        <w:rPr>
          <w:rFonts w:eastAsia="MS Mincho"/>
          <w:b/>
          <w:lang w:val="en-US" w:eastAsia="ja-JP"/>
        </w:rPr>
      </w:pPr>
      <w:r w:rsidRPr="00664BA7">
        <w:rPr>
          <w:rFonts w:eastAsia="MS Mincho"/>
          <w:b/>
          <w:iCs/>
          <w:lang w:val="en-US" w:eastAsia="ja-JP"/>
        </w:rPr>
        <w:t>Configuration information multiple PRS time-frequency configurations with possibly up to 3 different PRS bandwidths per cell can be signaled to the UE, each information associated with a set of configuration parameters including PRS configuration index, number of PRS subframes per occasion, muting pattern, and new optional parameters</w:t>
      </w:r>
      <w:r>
        <w:rPr>
          <w:rFonts w:eastAsia="MS Mincho"/>
          <w:b/>
          <w:iCs/>
          <w:lang w:val="en-US" w:eastAsia="ja-JP"/>
        </w:rPr>
        <w:t>.</w:t>
      </w:r>
    </w:p>
    <w:p w14:paraId="3C7B8C5B" w14:textId="77777777" w:rsidR="009B377F" w:rsidRPr="00135B20" w:rsidRDefault="009B377F" w:rsidP="009B377F">
      <w:pPr>
        <w:overflowPunct/>
        <w:autoSpaceDE/>
        <w:autoSpaceDN/>
        <w:adjustRightInd/>
        <w:spacing w:after="0"/>
        <w:jc w:val="left"/>
        <w:textAlignment w:val="auto"/>
        <w:rPr>
          <w:rFonts w:eastAsia="MS Mincho"/>
          <w:b/>
          <w:iCs/>
          <w:lang w:val="en-US" w:eastAsia="ja-JP"/>
        </w:rPr>
      </w:pPr>
      <w:r w:rsidRPr="00135B20">
        <w:rPr>
          <w:rFonts w:eastAsia="MS Mincho"/>
          <w:b/>
          <w:iCs/>
          <w:lang w:val="en-US" w:eastAsia="ja-JP"/>
        </w:rPr>
        <w:t>Proposal 7: RAN1 clarifies if it is feasible for FeMTC devices to receive PRS in non-BL/CE (“invalid”) subframes during which ongoing MPDCCH/PDSCH reception (if exists) is suspended.</w:t>
      </w:r>
    </w:p>
    <w:p w14:paraId="5976A454" w14:textId="643A6CC6" w:rsidR="009B377F" w:rsidRDefault="009B377F" w:rsidP="009B377F">
      <w:pPr>
        <w:pStyle w:val="ListParagraph"/>
        <w:numPr>
          <w:ilvl w:val="0"/>
          <w:numId w:val="50"/>
        </w:numPr>
        <w:overflowPunct/>
        <w:autoSpaceDE/>
        <w:autoSpaceDN/>
        <w:adjustRightInd/>
        <w:spacing w:after="0"/>
        <w:jc w:val="left"/>
        <w:textAlignment w:val="auto"/>
        <w:rPr>
          <w:rFonts w:eastAsia="MS Mincho"/>
          <w:b/>
          <w:iCs/>
          <w:lang w:val="en-US" w:eastAsia="ja-JP"/>
        </w:rPr>
      </w:pPr>
      <w:r w:rsidRPr="00135B20">
        <w:rPr>
          <w:rFonts w:eastAsia="MS Mincho"/>
          <w:b/>
          <w:iCs/>
          <w:lang w:val="en-US" w:eastAsia="ja-JP"/>
        </w:rPr>
        <w:t>If it is considered feasible, RAN1 further clarifies whether there is a need to introduce a corresponding UE capability or not.</w:t>
      </w:r>
    </w:p>
    <w:p w14:paraId="306BD6AD" w14:textId="77777777" w:rsidR="006D21A1" w:rsidRPr="006D21A1" w:rsidRDefault="006D21A1" w:rsidP="006D21A1">
      <w:pPr>
        <w:pStyle w:val="ListParagraph"/>
        <w:overflowPunct/>
        <w:autoSpaceDE/>
        <w:autoSpaceDN/>
        <w:adjustRightInd/>
        <w:spacing w:after="0"/>
        <w:jc w:val="left"/>
        <w:textAlignment w:val="auto"/>
        <w:rPr>
          <w:rFonts w:eastAsia="MS Mincho"/>
          <w:b/>
          <w:iCs/>
          <w:lang w:val="en-US" w:eastAsia="ja-JP"/>
        </w:rPr>
      </w:pPr>
    </w:p>
    <w:p w14:paraId="100F4300" w14:textId="77777777" w:rsidR="006D21A1" w:rsidRDefault="006D21A1" w:rsidP="006D21A1">
      <w:pPr>
        <w:rPr>
          <w:rFonts w:eastAsia="MS Mincho"/>
          <w:b/>
          <w:lang w:val="en-US" w:eastAsia="ja-JP"/>
        </w:rPr>
      </w:pPr>
      <w:r>
        <w:rPr>
          <w:rFonts w:eastAsia="MS Mincho"/>
          <w:b/>
          <w:lang w:val="en-US" w:eastAsia="ja-JP"/>
        </w:rPr>
        <w:t>Proposal 8</w:t>
      </w:r>
      <w:r w:rsidRPr="00AA1852">
        <w:rPr>
          <w:rFonts w:eastAsia="MS Mincho"/>
          <w:b/>
          <w:lang w:val="en-US" w:eastAsia="ja-JP"/>
        </w:rPr>
        <w:t xml:space="preserve">: </w:t>
      </w:r>
      <w:r>
        <w:rPr>
          <w:rFonts w:eastAsia="MS Mincho"/>
          <w:b/>
          <w:lang w:val="en-US" w:eastAsia="ja-JP"/>
        </w:rPr>
        <w:t>A</w:t>
      </w:r>
      <w:r w:rsidRPr="00AA1852">
        <w:rPr>
          <w:rFonts w:eastAsia="MS Mincho"/>
          <w:b/>
          <w:lang w:val="en-US" w:eastAsia="ja-JP"/>
        </w:rPr>
        <w:t xml:space="preserve"> UE should be aware that multiple PRS-configurations</w:t>
      </w:r>
      <w:r>
        <w:rPr>
          <w:rFonts w:eastAsia="MS Mincho"/>
          <w:b/>
          <w:lang w:val="en-US" w:eastAsia="ja-JP"/>
        </w:rPr>
        <w:t xml:space="preserve"> with different </w:t>
      </w:r>
      <w:r w:rsidRPr="00873399">
        <w:rPr>
          <w:rFonts w:eastAsia="MS Mincho"/>
          <w:b/>
          <w:i/>
          <w:lang w:val="en-US" w:eastAsia="ja-JP"/>
        </w:rPr>
        <w:t>prs-ID</w:t>
      </w:r>
      <w:r>
        <w:rPr>
          <w:rFonts w:eastAsia="MS Mincho"/>
          <w:b/>
          <w:lang w:val="en-US" w:eastAsia="ja-JP"/>
        </w:rPr>
        <w:t>s</w:t>
      </w:r>
      <w:r w:rsidRPr="00AA1852">
        <w:rPr>
          <w:rFonts w:eastAsia="MS Mincho"/>
          <w:b/>
          <w:lang w:val="en-US" w:eastAsia="ja-JP"/>
        </w:rPr>
        <w:t xml:space="preserve"> can occur for one TP ID</w:t>
      </w:r>
      <w:r>
        <w:rPr>
          <w:rFonts w:eastAsia="MS Mincho"/>
          <w:b/>
          <w:lang w:val="en-US" w:eastAsia="ja-JP"/>
        </w:rPr>
        <w:t>.</w:t>
      </w:r>
    </w:p>
    <w:p w14:paraId="086166B6" w14:textId="06CE230D" w:rsidR="009B377F" w:rsidRPr="006D21A1" w:rsidRDefault="006D21A1" w:rsidP="009B377F">
      <w:pPr>
        <w:rPr>
          <w:rFonts w:eastAsia="MS Mincho"/>
          <w:b/>
          <w:lang w:val="en-US" w:eastAsia="ja-JP"/>
        </w:rPr>
      </w:pPr>
      <w:r>
        <w:rPr>
          <w:rFonts w:eastAsia="MS Mincho"/>
          <w:b/>
          <w:lang w:val="en-US" w:eastAsia="ja-JP"/>
        </w:rPr>
        <w:t xml:space="preserve">Proposal 9: Add an </w:t>
      </w:r>
      <w:r w:rsidRPr="00522464">
        <w:rPr>
          <w:rFonts w:eastAsia="MS Mincho"/>
          <w:b/>
          <w:i/>
          <w:lang w:val="en-US" w:eastAsia="ja-JP"/>
        </w:rPr>
        <w:t>extraPrsIDList</w:t>
      </w:r>
      <w:r w:rsidRPr="0074526C">
        <w:rPr>
          <w:rFonts w:eastAsia="MS Mincho"/>
          <w:b/>
          <w:lang w:val="en-US" w:eastAsia="ja-JP"/>
        </w:rPr>
        <w:t xml:space="preserve"> </w:t>
      </w:r>
      <w:r>
        <w:rPr>
          <w:rFonts w:eastAsia="MS Mincho"/>
          <w:b/>
          <w:lang w:val="en-US" w:eastAsia="ja-JP"/>
        </w:rPr>
        <w:t>element in order to reduce the signaling when decreasing the frequency reuse factor.</w:t>
      </w:r>
    </w:p>
    <w:p w14:paraId="607185F1" w14:textId="411A40B9" w:rsidR="00055FB3" w:rsidRPr="00055FB3" w:rsidRDefault="00525201" w:rsidP="00990218">
      <w:pPr>
        <w:pStyle w:val="Heading1"/>
        <w:numPr>
          <w:ilvl w:val="0"/>
          <w:numId w:val="3"/>
        </w:numPr>
        <w:rPr>
          <w:lang w:val="en-US"/>
        </w:rPr>
      </w:pPr>
      <w:r w:rsidRPr="00FE1F13">
        <w:rPr>
          <w:lang w:val="en-US"/>
        </w:rPr>
        <w:lastRenderedPageBreak/>
        <w:t>References</w:t>
      </w:r>
    </w:p>
    <w:bookmarkStart w:id="4" w:name="_Ref458608991"/>
    <w:bookmarkStart w:id="5" w:name="_Ref174151459"/>
    <w:bookmarkStart w:id="6" w:name="_Ref189809556"/>
    <w:bookmarkStart w:id="7" w:name="_Ref458753847"/>
    <w:p w14:paraId="5DA2015E" w14:textId="7676E970" w:rsidR="0076279C" w:rsidRPr="0076279C" w:rsidRDefault="00F72D43" w:rsidP="0076279C">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r>
        <w:fldChar w:fldCharType="begin"/>
      </w:r>
      <w:r>
        <w:instrText>HYPERLINK "http://www.3gpp.org/ftp/tsg_ran/TSG_RAN/TSGR_74/Docs/RP-162520.zip"</w:instrText>
      </w:r>
      <w:r>
        <w:fldChar w:fldCharType="separate"/>
      </w:r>
      <w:bookmarkEnd w:id="4"/>
      <w:r>
        <w:rPr>
          <w:rStyle w:val="Hyperlink"/>
        </w:rPr>
        <w:t>RP-162520</w:t>
      </w:r>
      <w:r>
        <w:fldChar w:fldCharType="end"/>
      </w:r>
      <w:r w:rsidR="0076279C">
        <w:t>, “Revised WID for Further Enhanced MTC for LTE”</w:t>
      </w:r>
      <w:bookmarkEnd w:id="5"/>
      <w:bookmarkEnd w:id="6"/>
      <w:bookmarkEnd w:id="7"/>
    </w:p>
    <w:bookmarkStart w:id="8" w:name="_Ref473540478"/>
    <w:p w14:paraId="4EA12B66" w14:textId="7951270C" w:rsidR="00C42572" w:rsidRPr="008E2979" w:rsidRDefault="00F72D43" w:rsidP="008E2979">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r>
        <w:fldChar w:fldCharType="begin"/>
      </w:r>
      <w:r>
        <w:instrText xml:space="preserve"> HYPERLINK "http://www.3gpp.org/ftp/Specs/archive/36_series/36.133/36133-e20.zip" </w:instrText>
      </w:r>
      <w:r>
        <w:fldChar w:fldCharType="separate"/>
      </w:r>
      <w:r w:rsidR="008E2979" w:rsidRPr="00F72D43">
        <w:rPr>
          <w:rStyle w:val="Hyperlink"/>
        </w:rPr>
        <w:t xml:space="preserve">TS </w:t>
      </w:r>
      <w:r w:rsidR="00C42572" w:rsidRPr="00F72D43">
        <w:rPr>
          <w:rStyle w:val="Hyperlink"/>
        </w:rPr>
        <w:t>36.133</w:t>
      </w:r>
      <w:r w:rsidRPr="00F72D43">
        <w:rPr>
          <w:rStyle w:val="Hyperlink"/>
        </w:rPr>
        <w:t xml:space="preserve"> V14.2.0</w:t>
      </w:r>
      <w:r>
        <w:fldChar w:fldCharType="end"/>
      </w:r>
      <w:r w:rsidR="008E2979" w:rsidRPr="008E2979">
        <w:t>, “Evolved Universal Terrestrial Radio Access (E-UTRA); Requirements for support of radio resource management”</w:t>
      </w:r>
      <w:bookmarkEnd w:id="8"/>
    </w:p>
    <w:sectPr w:rsidR="00C42572" w:rsidRPr="008E2979"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839EC" w14:textId="77777777" w:rsidR="00B200C2" w:rsidRDefault="00B200C2">
      <w:pPr>
        <w:spacing w:after="0"/>
      </w:pPr>
      <w:r>
        <w:separator/>
      </w:r>
    </w:p>
  </w:endnote>
  <w:endnote w:type="continuationSeparator" w:id="0">
    <w:p w14:paraId="7FB08AB9" w14:textId="77777777" w:rsidR="00B200C2" w:rsidRDefault="00B20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6EA86585" w:rsidR="00454488" w:rsidRDefault="00454488">
    <w:pPr>
      <w:pStyle w:val="Footer"/>
      <w:ind w:right="-1521"/>
    </w:pPr>
    <w:r>
      <w:rPr>
        <w:rStyle w:val="PageNumber"/>
      </w:rPr>
      <w:fldChar w:fldCharType="begin"/>
    </w:r>
    <w:r>
      <w:rPr>
        <w:rStyle w:val="PageNumber"/>
      </w:rPr>
      <w:instrText xml:space="preserve"> PAGE </w:instrText>
    </w:r>
    <w:r>
      <w:rPr>
        <w:rStyle w:val="PageNumber"/>
      </w:rPr>
      <w:fldChar w:fldCharType="separate"/>
    </w:r>
    <w:r w:rsidR="00782613">
      <w:rPr>
        <w:rStyle w:val="PageNumber"/>
      </w:rPr>
      <w:t>6</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2613">
      <w:rPr>
        <w:rStyle w:val="PageNumber"/>
      </w:rPr>
      <w:t>6</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643630D3" w:rsidR="00454488" w:rsidRDefault="00454488">
    <w:pPr>
      <w:pStyle w:val="Footer"/>
    </w:pPr>
    <w:r>
      <w:rPr>
        <w:rStyle w:val="PageNumber"/>
      </w:rPr>
      <w:fldChar w:fldCharType="begin"/>
    </w:r>
    <w:r>
      <w:rPr>
        <w:rStyle w:val="PageNumber"/>
      </w:rPr>
      <w:instrText xml:space="preserve"> PAGE </w:instrText>
    </w:r>
    <w:r>
      <w:rPr>
        <w:rStyle w:val="PageNumber"/>
      </w:rPr>
      <w:fldChar w:fldCharType="separate"/>
    </w:r>
    <w:r w:rsidR="007826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2613">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D479B" w14:textId="77777777" w:rsidR="00B200C2" w:rsidRDefault="00B200C2">
      <w:pPr>
        <w:spacing w:after="0"/>
      </w:pPr>
      <w:r>
        <w:separator/>
      </w:r>
    </w:p>
  </w:footnote>
  <w:footnote w:type="continuationSeparator" w:id="0">
    <w:p w14:paraId="30FEB636" w14:textId="77777777" w:rsidR="00B200C2" w:rsidRDefault="00B200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454488" w:rsidRPr="006A0FC7" w:rsidRDefault="00454488"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454488" w:rsidRPr="00BF30DA" w:rsidRDefault="00454488"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13924E5"/>
    <w:multiLevelType w:val="hybridMultilevel"/>
    <w:tmpl w:val="4D3EAC7C"/>
    <w:lvl w:ilvl="0" w:tplc="837E02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37291"/>
    <w:multiLevelType w:val="hybridMultilevel"/>
    <w:tmpl w:val="D89EE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F1C89"/>
    <w:multiLevelType w:val="hybridMultilevel"/>
    <w:tmpl w:val="DE0C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4BA"/>
    <w:multiLevelType w:val="hybridMultilevel"/>
    <w:tmpl w:val="149AC06C"/>
    <w:lvl w:ilvl="0" w:tplc="7994A592">
      <w:start w:val="1"/>
      <w:numFmt w:val="bullet"/>
      <w:lvlText w:val="•"/>
      <w:lvlJc w:val="left"/>
      <w:pPr>
        <w:tabs>
          <w:tab w:val="num" w:pos="720"/>
        </w:tabs>
        <w:ind w:left="720" w:hanging="360"/>
      </w:pPr>
      <w:rPr>
        <w:rFonts w:ascii="Arial" w:hAnsi="Arial" w:hint="default"/>
      </w:rPr>
    </w:lvl>
    <w:lvl w:ilvl="1" w:tplc="8340C5E2">
      <w:numFmt w:val="bullet"/>
      <w:lvlText w:val="–"/>
      <w:lvlJc w:val="left"/>
      <w:pPr>
        <w:tabs>
          <w:tab w:val="num" w:pos="1440"/>
        </w:tabs>
        <w:ind w:left="1440" w:hanging="360"/>
      </w:pPr>
      <w:rPr>
        <w:rFonts w:ascii="Arial" w:hAnsi="Arial" w:hint="default"/>
      </w:rPr>
    </w:lvl>
    <w:lvl w:ilvl="2" w:tplc="F67C990E" w:tentative="1">
      <w:start w:val="1"/>
      <w:numFmt w:val="bullet"/>
      <w:lvlText w:val="•"/>
      <w:lvlJc w:val="left"/>
      <w:pPr>
        <w:tabs>
          <w:tab w:val="num" w:pos="2160"/>
        </w:tabs>
        <w:ind w:left="2160" w:hanging="360"/>
      </w:pPr>
      <w:rPr>
        <w:rFonts w:ascii="Arial" w:hAnsi="Arial" w:hint="default"/>
      </w:rPr>
    </w:lvl>
    <w:lvl w:ilvl="3" w:tplc="54966896" w:tentative="1">
      <w:start w:val="1"/>
      <w:numFmt w:val="bullet"/>
      <w:lvlText w:val="•"/>
      <w:lvlJc w:val="left"/>
      <w:pPr>
        <w:tabs>
          <w:tab w:val="num" w:pos="2880"/>
        </w:tabs>
        <w:ind w:left="2880" w:hanging="360"/>
      </w:pPr>
      <w:rPr>
        <w:rFonts w:ascii="Arial" w:hAnsi="Arial" w:hint="default"/>
      </w:rPr>
    </w:lvl>
    <w:lvl w:ilvl="4" w:tplc="B5DA1DE2" w:tentative="1">
      <w:start w:val="1"/>
      <w:numFmt w:val="bullet"/>
      <w:lvlText w:val="•"/>
      <w:lvlJc w:val="left"/>
      <w:pPr>
        <w:tabs>
          <w:tab w:val="num" w:pos="3600"/>
        </w:tabs>
        <w:ind w:left="3600" w:hanging="360"/>
      </w:pPr>
      <w:rPr>
        <w:rFonts w:ascii="Arial" w:hAnsi="Arial" w:hint="default"/>
      </w:rPr>
    </w:lvl>
    <w:lvl w:ilvl="5" w:tplc="B47A3E0C" w:tentative="1">
      <w:start w:val="1"/>
      <w:numFmt w:val="bullet"/>
      <w:lvlText w:val="•"/>
      <w:lvlJc w:val="left"/>
      <w:pPr>
        <w:tabs>
          <w:tab w:val="num" w:pos="4320"/>
        </w:tabs>
        <w:ind w:left="4320" w:hanging="360"/>
      </w:pPr>
      <w:rPr>
        <w:rFonts w:ascii="Arial" w:hAnsi="Arial" w:hint="default"/>
      </w:rPr>
    </w:lvl>
    <w:lvl w:ilvl="6" w:tplc="B38A61CE" w:tentative="1">
      <w:start w:val="1"/>
      <w:numFmt w:val="bullet"/>
      <w:lvlText w:val="•"/>
      <w:lvlJc w:val="left"/>
      <w:pPr>
        <w:tabs>
          <w:tab w:val="num" w:pos="5040"/>
        </w:tabs>
        <w:ind w:left="5040" w:hanging="360"/>
      </w:pPr>
      <w:rPr>
        <w:rFonts w:ascii="Arial" w:hAnsi="Arial" w:hint="default"/>
      </w:rPr>
    </w:lvl>
    <w:lvl w:ilvl="7" w:tplc="B63A55CA" w:tentative="1">
      <w:start w:val="1"/>
      <w:numFmt w:val="bullet"/>
      <w:lvlText w:val="•"/>
      <w:lvlJc w:val="left"/>
      <w:pPr>
        <w:tabs>
          <w:tab w:val="num" w:pos="5760"/>
        </w:tabs>
        <w:ind w:left="5760" w:hanging="360"/>
      </w:pPr>
      <w:rPr>
        <w:rFonts w:ascii="Arial" w:hAnsi="Arial" w:hint="default"/>
      </w:rPr>
    </w:lvl>
    <w:lvl w:ilvl="8" w:tplc="7ECE34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805F0"/>
    <w:multiLevelType w:val="hybridMultilevel"/>
    <w:tmpl w:val="154A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38C6A86"/>
    <w:multiLevelType w:val="hybridMultilevel"/>
    <w:tmpl w:val="46CC54B2"/>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CAB513C"/>
    <w:multiLevelType w:val="hybridMultilevel"/>
    <w:tmpl w:val="61D0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B7E"/>
    <w:multiLevelType w:val="hybridMultilevel"/>
    <w:tmpl w:val="3D26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D53159"/>
    <w:multiLevelType w:val="hybridMultilevel"/>
    <w:tmpl w:val="B4B2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A2B6F"/>
    <w:multiLevelType w:val="hybridMultilevel"/>
    <w:tmpl w:val="1C625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994055"/>
    <w:multiLevelType w:val="hybridMultilevel"/>
    <w:tmpl w:val="873A45EE"/>
    <w:lvl w:ilvl="0" w:tplc="2EC82530">
      <w:start w:val="1"/>
      <w:numFmt w:val="bullet"/>
      <w:lvlText w:val="•"/>
      <w:lvlJc w:val="left"/>
      <w:pPr>
        <w:tabs>
          <w:tab w:val="num" w:pos="720"/>
        </w:tabs>
        <w:ind w:left="720" w:hanging="360"/>
      </w:pPr>
      <w:rPr>
        <w:rFonts w:ascii="Arial" w:hAnsi="Arial" w:hint="default"/>
      </w:rPr>
    </w:lvl>
    <w:lvl w:ilvl="1" w:tplc="1CC051AA">
      <w:numFmt w:val="bullet"/>
      <w:lvlText w:val="–"/>
      <w:lvlJc w:val="left"/>
      <w:pPr>
        <w:tabs>
          <w:tab w:val="num" w:pos="1440"/>
        </w:tabs>
        <w:ind w:left="1440" w:hanging="360"/>
      </w:pPr>
      <w:rPr>
        <w:rFonts w:ascii="Arial" w:hAnsi="Arial" w:hint="default"/>
      </w:rPr>
    </w:lvl>
    <w:lvl w:ilvl="2" w:tplc="3A2C272A" w:tentative="1">
      <w:start w:val="1"/>
      <w:numFmt w:val="bullet"/>
      <w:lvlText w:val="•"/>
      <w:lvlJc w:val="left"/>
      <w:pPr>
        <w:tabs>
          <w:tab w:val="num" w:pos="2160"/>
        </w:tabs>
        <w:ind w:left="2160" w:hanging="360"/>
      </w:pPr>
      <w:rPr>
        <w:rFonts w:ascii="Arial" w:hAnsi="Arial" w:hint="default"/>
      </w:rPr>
    </w:lvl>
    <w:lvl w:ilvl="3" w:tplc="BC0A6D7E" w:tentative="1">
      <w:start w:val="1"/>
      <w:numFmt w:val="bullet"/>
      <w:lvlText w:val="•"/>
      <w:lvlJc w:val="left"/>
      <w:pPr>
        <w:tabs>
          <w:tab w:val="num" w:pos="2880"/>
        </w:tabs>
        <w:ind w:left="2880" w:hanging="360"/>
      </w:pPr>
      <w:rPr>
        <w:rFonts w:ascii="Arial" w:hAnsi="Arial" w:hint="default"/>
      </w:rPr>
    </w:lvl>
    <w:lvl w:ilvl="4" w:tplc="FCE8E632" w:tentative="1">
      <w:start w:val="1"/>
      <w:numFmt w:val="bullet"/>
      <w:lvlText w:val="•"/>
      <w:lvlJc w:val="left"/>
      <w:pPr>
        <w:tabs>
          <w:tab w:val="num" w:pos="3600"/>
        </w:tabs>
        <w:ind w:left="3600" w:hanging="360"/>
      </w:pPr>
      <w:rPr>
        <w:rFonts w:ascii="Arial" w:hAnsi="Arial" w:hint="default"/>
      </w:rPr>
    </w:lvl>
    <w:lvl w:ilvl="5" w:tplc="C4600CA0" w:tentative="1">
      <w:start w:val="1"/>
      <w:numFmt w:val="bullet"/>
      <w:lvlText w:val="•"/>
      <w:lvlJc w:val="left"/>
      <w:pPr>
        <w:tabs>
          <w:tab w:val="num" w:pos="4320"/>
        </w:tabs>
        <w:ind w:left="4320" w:hanging="360"/>
      </w:pPr>
      <w:rPr>
        <w:rFonts w:ascii="Arial" w:hAnsi="Arial" w:hint="default"/>
      </w:rPr>
    </w:lvl>
    <w:lvl w:ilvl="6" w:tplc="C254B6C4" w:tentative="1">
      <w:start w:val="1"/>
      <w:numFmt w:val="bullet"/>
      <w:lvlText w:val="•"/>
      <w:lvlJc w:val="left"/>
      <w:pPr>
        <w:tabs>
          <w:tab w:val="num" w:pos="5040"/>
        </w:tabs>
        <w:ind w:left="5040" w:hanging="360"/>
      </w:pPr>
      <w:rPr>
        <w:rFonts w:ascii="Arial" w:hAnsi="Arial" w:hint="default"/>
      </w:rPr>
    </w:lvl>
    <w:lvl w:ilvl="7" w:tplc="FBFA672C" w:tentative="1">
      <w:start w:val="1"/>
      <w:numFmt w:val="bullet"/>
      <w:lvlText w:val="•"/>
      <w:lvlJc w:val="left"/>
      <w:pPr>
        <w:tabs>
          <w:tab w:val="num" w:pos="5760"/>
        </w:tabs>
        <w:ind w:left="5760" w:hanging="360"/>
      </w:pPr>
      <w:rPr>
        <w:rFonts w:ascii="Arial" w:hAnsi="Arial" w:hint="default"/>
      </w:rPr>
    </w:lvl>
    <w:lvl w:ilvl="8" w:tplc="A43E79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E6DCE"/>
    <w:multiLevelType w:val="hybridMultilevel"/>
    <w:tmpl w:val="6FF8F47E"/>
    <w:lvl w:ilvl="0" w:tplc="2E54DC50">
      <w:start w:val="1"/>
      <w:numFmt w:val="bullet"/>
      <w:lvlText w:val="•"/>
      <w:lvlJc w:val="left"/>
      <w:pPr>
        <w:tabs>
          <w:tab w:val="num" w:pos="720"/>
        </w:tabs>
        <w:ind w:left="720" w:hanging="360"/>
      </w:pPr>
      <w:rPr>
        <w:rFonts w:ascii="Arial" w:hAnsi="Arial" w:cs="Times New Roman" w:hint="default"/>
      </w:rPr>
    </w:lvl>
    <w:lvl w:ilvl="1" w:tplc="89BE9F52">
      <w:numFmt w:val="bullet"/>
      <w:lvlText w:val="–"/>
      <w:lvlJc w:val="left"/>
      <w:pPr>
        <w:tabs>
          <w:tab w:val="num" w:pos="1440"/>
        </w:tabs>
        <w:ind w:left="1440" w:hanging="360"/>
      </w:pPr>
      <w:rPr>
        <w:rFonts w:ascii="Arial" w:hAnsi="Arial" w:cs="Times New Roman" w:hint="default"/>
      </w:rPr>
    </w:lvl>
    <w:lvl w:ilvl="2" w:tplc="7B8C4478">
      <w:numFmt w:val="bullet"/>
      <w:lvlText w:val="•"/>
      <w:lvlJc w:val="left"/>
      <w:pPr>
        <w:tabs>
          <w:tab w:val="num" w:pos="2160"/>
        </w:tabs>
        <w:ind w:left="2160" w:hanging="360"/>
      </w:pPr>
      <w:rPr>
        <w:rFonts w:ascii="Arial" w:hAnsi="Arial" w:cs="Times New Roman" w:hint="default"/>
      </w:rPr>
    </w:lvl>
    <w:lvl w:ilvl="3" w:tplc="36EC6050">
      <w:numFmt w:val="bullet"/>
      <w:lvlText w:val="–"/>
      <w:lvlJc w:val="left"/>
      <w:pPr>
        <w:tabs>
          <w:tab w:val="num" w:pos="2880"/>
        </w:tabs>
        <w:ind w:left="2880" w:hanging="360"/>
      </w:pPr>
      <w:rPr>
        <w:rFonts w:ascii="Arial" w:hAnsi="Arial" w:cs="Times New Roman" w:hint="default"/>
      </w:rPr>
    </w:lvl>
    <w:lvl w:ilvl="4" w:tplc="4E28CB0A">
      <w:start w:val="1"/>
      <w:numFmt w:val="bullet"/>
      <w:lvlText w:val="•"/>
      <w:lvlJc w:val="left"/>
      <w:pPr>
        <w:tabs>
          <w:tab w:val="num" w:pos="3600"/>
        </w:tabs>
        <w:ind w:left="3600" w:hanging="360"/>
      </w:pPr>
      <w:rPr>
        <w:rFonts w:ascii="Arial" w:hAnsi="Arial" w:cs="Times New Roman" w:hint="default"/>
      </w:rPr>
    </w:lvl>
    <w:lvl w:ilvl="5" w:tplc="D854B8FE">
      <w:start w:val="1"/>
      <w:numFmt w:val="bullet"/>
      <w:lvlText w:val="•"/>
      <w:lvlJc w:val="left"/>
      <w:pPr>
        <w:tabs>
          <w:tab w:val="num" w:pos="4320"/>
        </w:tabs>
        <w:ind w:left="4320" w:hanging="360"/>
      </w:pPr>
      <w:rPr>
        <w:rFonts w:ascii="Arial" w:hAnsi="Arial" w:cs="Times New Roman" w:hint="default"/>
      </w:rPr>
    </w:lvl>
    <w:lvl w:ilvl="6" w:tplc="62024FE0">
      <w:start w:val="1"/>
      <w:numFmt w:val="bullet"/>
      <w:lvlText w:val="•"/>
      <w:lvlJc w:val="left"/>
      <w:pPr>
        <w:tabs>
          <w:tab w:val="num" w:pos="5040"/>
        </w:tabs>
        <w:ind w:left="5040" w:hanging="360"/>
      </w:pPr>
      <w:rPr>
        <w:rFonts w:ascii="Arial" w:hAnsi="Arial" w:cs="Times New Roman" w:hint="default"/>
      </w:rPr>
    </w:lvl>
    <w:lvl w:ilvl="7" w:tplc="C8F4D3EE">
      <w:start w:val="1"/>
      <w:numFmt w:val="bullet"/>
      <w:lvlText w:val="•"/>
      <w:lvlJc w:val="left"/>
      <w:pPr>
        <w:tabs>
          <w:tab w:val="num" w:pos="5760"/>
        </w:tabs>
        <w:ind w:left="5760" w:hanging="360"/>
      </w:pPr>
      <w:rPr>
        <w:rFonts w:ascii="Arial" w:hAnsi="Arial" w:cs="Times New Roman" w:hint="default"/>
      </w:rPr>
    </w:lvl>
    <w:lvl w:ilvl="8" w:tplc="D17AF06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0775F9"/>
    <w:multiLevelType w:val="hybridMultilevel"/>
    <w:tmpl w:val="410E3D0C"/>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FB6C96"/>
    <w:multiLevelType w:val="hybridMultilevel"/>
    <w:tmpl w:val="0C5A24F6"/>
    <w:lvl w:ilvl="0" w:tplc="85BAD832">
      <w:start w:val="1"/>
      <w:numFmt w:val="bullet"/>
      <w:lvlText w:val="•"/>
      <w:lvlJc w:val="left"/>
      <w:pPr>
        <w:tabs>
          <w:tab w:val="num" w:pos="720"/>
        </w:tabs>
        <w:ind w:left="720" w:hanging="360"/>
      </w:pPr>
      <w:rPr>
        <w:rFonts w:ascii="Arial" w:hAnsi="Arial" w:hint="default"/>
      </w:rPr>
    </w:lvl>
    <w:lvl w:ilvl="1" w:tplc="8702D19C">
      <w:numFmt w:val="bullet"/>
      <w:lvlText w:val="–"/>
      <w:lvlJc w:val="left"/>
      <w:pPr>
        <w:tabs>
          <w:tab w:val="num" w:pos="1440"/>
        </w:tabs>
        <w:ind w:left="1440" w:hanging="360"/>
      </w:pPr>
      <w:rPr>
        <w:rFonts w:ascii="Arial" w:hAnsi="Arial" w:hint="default"/>
      </w:rPr>
    </w:lvl>
    <w:lvl w:ilvl="2" w:tplc="D29675AE">
      <w:numFmt w:val="bullet"/>
      <w:lvlText w:val="•"/>
      <w:lvlJc w:val="left"/>
      <w:pPr>
        <w:tabs>
          <w:tab w:val="num" w:pos="2160"/>
        </w:tabs>
        <w:ind w:left="2160" w:hanging="360"/>
      </w:pPr>
      <w:rPr>
        <w:rFonts w:ascii="Arial" w:hAnsi="Arial" w:hint="default"/>
      </w:rPr>
    </w:lvl>
    <w:lvl w:ilvl="3" w:tplc="36E6A158">
      <w:start w:val="4"/>
      <w:numFmt w:val="bullet"/>
      <w:lvlText w:val="-"/>
      <w:lvlJc w:val="left"/>
      <w:pPr>
        <w:ind w:left="2880" w:hanging="360"/>
      </w:pPr>
      <w:rPr>
        <w:rFonts w:ascii="Times" w:eastAsia="MS Mincho" w:hAnsi="Times" w:cs="Times" w:hint="default"/>
      </w:rPr>
    </w:lvl>
    <w:lvl w:ilvl="4" w:tplc="40C2D6F4" w:tentative="1">
      <w:start w:val="1"/>
      <w:numFmt w:val="bullet"/>
      <w:lvlText w:val="•"/>
      <w:lvlJc w:val="left"/>
      <w:pPr>
        <w:tabs>
          <w:tab w:val="num" w:pos="3600"/>
        </w:tabs>
        <w:ind w:left="3600" w:hanging="360"/>
      </w:pPr>
      <w:rPr>
        <w:rFonts w:ascii="Arial" w:hAnsi="Arial" w:hint="default"/>
      </w:rPr>
    </w:lvl>
    <w:lvl w:ilvl="5" w:tplc="DA6277B2" w:tentative="1">
      <w:start w:val="1"/>
      <w:numFmt w:val="bullet"/>
      <w:lvlText w:val="•"/>
      <w:lvlJc w:val="left"/>
      <w:pPr>
        <w:tabs>
          <w:tab w:val="num" w:pos="4320"/>
        </w:tabs>
        <w:ind w:left="4320" w:hanging="360"/>
      </w:pPr>
      <w:rPr>
        <w:rFonts w:ascii="Arial" w:hAnsi="Arial" w:hint="default"/>
      </w:rPr>
    </w:lvl>
    <w:lvl w:ilvl="6" w:tplc="41A6003C" w:tentative="1">
      <w:start w:val="1"/>
      <w:numFmt w:val="bullet"/>
      <w:lvlText w:val="•"/>
      <w:lvlJc w:val="left"/>
      <w:pPr>
        <w:tabs>
          <w:tab w:val="num" w:pos="5040"/>
        </w:tabs>
        <w:ind w:left="5040" w:hanging="360"/>
      </w:pPr>
      <w:rPr>
        <w:rFonts w:ascii="Arial" w:hAnsi="Arial" w:hint="default"/>
      </w:rPr>
    </w:lvl>
    <w:lvl w:ilvl="7" w:tplc="51AA7390" w:tentative="1">
      <w:start w:val="1"/>
      <w:numFmt w:val="bullet"/>
      <w:lvlText w:val="•"/>
      <w:lvlJc w:val="left"/>
      <w:pPr>
        <w:tabs>
          <w:tab w:val="num" w:pos="5760"/>
        </w:tabs>
        <w:ind w:left="5760" w:hanging="360"/>
      </w:pPr>
      <w:rPr>
        <w:rFonts w:ascii="Arial" w:hAnsi="Arial" w:hint="default"/>
      </w:rPr>
    </w:lvl>
    <w:lvl w:ilvl="8" w:tplc="FA8696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E566D8"/>
    <w:multiLevelType w:val="hybridMultilevel"/>
    <w:tmpl w:val="991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060504"/>
    <w:multiLevelType w:val="hybridMultilevel"/>
    <w:tmpl w:val="3A38C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F5C44"/>
    <w:multiLevelType w:val="hybridMultilevel"/>
    <w:tmpl w:val="BC3CE2F0"/>
    <w:lvl w:ilvl="0" w:tplc="B1860398">
      <w:start w:val="1"/>
      <w:numFmt w:val="bullet"/>
      <w:lvlText w:val="•"/>
      <w:lvlJc w:val="left"/>
      <w:pPr>
        <w:tabs>
          <w:tab w:val="num" w:pos="720"/>
        </w:tabs>
        <w:ind w:left="720" w:hanging="360"/>
      </w:pPr>
      <w:rPr>
        <w:rFonts w:ascii="Arial" w:hAnsi="Arial" w:hint="default"/>
      </w:rPr>
    </w:lvl>
    <w:lvl w:ilvl="1" w:tplc="55CCDB6A">
      <w:numFmt w:val="bullet"/>
      <w:lvlText w:val="–"/>
      <w:lvlJc w:val="left"/>
      <w:pPr>
        <w:tabs>
          <w:tab w:val="num" w:pos="1440"/>
        </w:tabs>
        <w:ind w:left="1440" w:hanging="360"/>
      </w:pPr>
      <w:rPr>
        <w:rFonts w:ascii="Arial" w:hAnsi="Arial" w:hint="default"/>
      </w:rPr>
    </w:lvl>
    <w:lvl w:ilvl="2" w:tplc="311084E4" w:tentative="1">
      <w:start w:val="1"/>
      <w:numFmt w:val="bullet"/>
      <w:lvlText w:val="•"/>
      <w:lvlJc w:val="left"/>
      <w:pPr>
        <w:tabs>
          <w:tab w:val="num" w:pos="2160"/>
        </w:tabs>
        <w:ind w:left="2160" w:hanging="360"/>
      </w:pPr>
      <w:rPr>
        <w:rFonts w:ascii="Arial" w:hAnsi="Arial" w:hint="default"/>
      </w:rPr>
    </w:lvl>
    <w:lvl w:ilvl="3" w:tplc="A72EFD4C" w:tentative="1">
      <w:start w:val="1"/>
      <w:numFmt w:val="bullet"/>
      <w:lvlText w:val="•"/>
      <w:lvlJc w:val="left"/>
      <w:pPr>
        <w:tabs>
          <w:tab w:val="num" w:pos="2880"/>
        </w:tabs>
        <w:ind w:left="2880" w:hanging="360"/>
      </w:pPr>
      <w:rPr>
        <w:rFonts w:ascii="Arial" w:hAnsi="Arial" w:hint="default"/>
      </w:rPr>
    </w:lvl>
    <w:lvl w:ilvl="4" w:tplc="F2C8916E" w:tentative="1">
      <w:start w:val="1"/>
      <w:numFmt w:val="bullet"/>
      <w:lvlText w:val="•"/>
      <w:lvlJc w:val="left"/>
      <w:pPr>
        <w:tabs>
          <w:tab w:val="num" w:pos="3600"/>
        </w:tabs>
        <w:ind w:left="3600" w:hanging="360"/>
      </w:pPr>
      <w:rPr>
        <w:rFonts w:ascii="Arial" w:hAnsi="Arial" w:hint="default"/>
      </w:rPr>
    </w:lvl>
    <w:lvl w:ilvl="5" w:tplc="8EB4043A" w:tentative="1">
      <w:start w:val="1"/>
      <w:numFmt w:val="bullet"/>
      <w:lvlText w:val="•"/>
      <w:lvlJc w:val="left"/>
      <w:pPr>
        <w:tabs>
          <w:tab w:val="num" w:pos="4320"/>
        </w:tabs>
        <w:ind w:left="4320" w:hanging="360"/>
      </w:pPr>
      <w:rPr>
        <w:rFonts w:ascii="Arial" w:hAnsi="Arial" w:hint="default"/>
      </w:rPr>
    </w:lvl>
    <w:lvl w:ilvl="6" w:tplc="87D45222" w:tentative="1">
      <w:start w:val="1"/>
      <w:numFmt w:val="bullet"/>
      <w:lvlText w:val="•"/>
      <w:lvlJc w:val="left"/>
      <w:pPr>
        <w:tabs>
          <w:tab w:val="num" w:pos="5040"/>
        </w:tabs>
        <w:ind w:left="5040" w:hanging="360"/>
      </w:pPr>
      <w:rPr>
        <w:rFonts w:ascii="Arial" w:hAnsi="Arial" w:hint="default"/>
      </w:rPr>
    </w:lvl>
    <w:lvl w:ilvl="7" w:tplc="34589800" w:tentative="1">
      <w:start w:val="1"/>
      <w:numFmt w:val="bullet"/>
      <w:lvlText w:val="•"/>
      <w:lvlJc w:val="left"/>
      <w:pPr>
        <w:tabs>
          <w:tab w:val="num" w:pos="5760"/>
        </w:tabs>
        <w:ind w:left="5760" w:hanging="360"/>
      </w:pPr>
      <w:rPr>
        <w:rFonts w:ascii="Arial" w:hAnsi="Arial" w:hint="default"/>
      </w:rPr>
    </w:lvl>
    <w:lvl w:ilvl="8" w:tplc="A260DD1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
  </w:num>
  <w:num w:numId="4">
    <w:abstractNumId w:val="2"/>
  </w:num>
  <w:num w:numId="5">
    <w:abstractNumId w:val="17"/>
  </w:num>
  <w:num w:numId="6">
    <w:abstractNumId w:val="25"/>
  </w:num>
  <w:num w:numId="7">
    <w:abstractNumId w:val="34"/>
  </w:num>
  <w:num w:numId="8">
    <w:abstractNumId w:val="18"/>
  </w:num>
  <w:num w:numId="9">
    <w:abstractNumId w:val="23"/>
  </w:num>
  <w:num w:numId="10">
    <w:abstractNumId w:val="21"/>
  </w:num>
  <w:num w:numId="11">
    <w:abstractNumId w:val="32"/>
  </w:num>
  <w:num w:numId="12">
    <w:abstractNumId w:val="29"/>
  </w:num>
  <w:num w:numId="13">
    <w:abstractNumId w:val="45"/>
  </w:num>
  <w:num w:numId="14">
    <w:abstractNumId w:val="41"/>
  </w:num>
  <w:num w:numId="15">
    <w:abstractNumId w:val="43"/>
  </w:num>
  <w:num w:numId="16">
    <w:abstractNumId w:val="42"/>
  </w:num>
  <w:num w:numId="17">
    <w:abstractNumId w:val="14"/>
  </w:num>
  <w:num w:numId="18">
    <w:abstractNumId w:val="24"/>
  </w:num>
  <w:num w:numId="19">
    <w:abstractNumId w:val="6"/>
  </w:num>
  <w:num w:numId="20">
    <w:abstractNumId w:val="12"/>
  </w:num>
  <w:num w:numId="21">
    <w:abstractNumId w:val="37"/>
  </w:num>
  <w:num w:numId="22">
    <w:abstractNumId w:val="15"/>
  </w:num>
  <w:num w:numId="23">
    <w:abstractNumId w:val="28"/>
  </w:num>
  <w:num w:numId="24">
    <w:abstractNumId w:val="3"/>
  </w:num>
  <w:num w:numId="25">
    <w:abstractNumId w:val="22"/>
  </w:num>
  <w:num w:numId="26">
    <w:abstractNumId w:val="39"/>
  </w:num>
  <w:num w:numId="27">
    <w:abstractNumId w:val="20"/>
  </w:num>
  <w:num w:numId="28">
    <w:abstractNumId w:val="31"/>
  </w:num>
  <w:num w:numId="29">
    <w:abstractNumId w:val="19"/>
  </w:num>
  <w:num w:numId="30">
    <w:abstractNumId w:val="13"/>
  </w:num>
  <w:num w:numId="31">
    <w:abstractNumId w:val="7"/>
  </w:num>
  <w:num w:numId="32">
    <w:abstractNumId w:val="27"/>
  </w:num>
  <w:num w:numId="33">
    <w:abstractNumId w:val="30"/>
  </w:num>
  <w:num w:numId="34">
    <w:abstractNumId w:val="9"/>
  </w:num>
  <w:num w:numId="35">
    <w:abstractNumId w:val="11"/>
  </w:num>
  <w:num w:numId="36">
    <w:abstractNumId w:val="1"/>
  </w:num>
  <w:num w:numId="37">
    <w:abstractNumId w:val="38"/>
  </w:num>
  <w:num w:numId="38">
    <w:abstractNumId w:val="44"/>
  </w:num>
  <w:num w:numId="39">
    <w:abstractNumId w:val="47"/>
  </w:num>
  <w:num w:numId="40">
    <w:abstractNumId w:val="4"/>
  </w:num>
  <w:num w:numId="41">
    <w:abstractNumId w:val="33"/>
  </w:num>
  <w:num w:numId="42">
    <w:abstractNumId w:val="8"/>
  </w:num>
  <w:num w:numId="43">
    <w:abstractNumId w:val="40"/>
  </w:num>
  <w:num w:numId="44">
    <w:abstractNumId w:val="35"/>
  </w:num>
  <w:num w:numId="45">
    <w:abstractNumId w:val="36"/>
  </w:num>
  <w:num w:numId="46">
    <w:abstractNumId w:val="36"/>
  </w:num>
  <w:num w:numId="47">
    <w:abstractNumId w:val="16"/>
  </w:num>
  <w:num w:numId="48">
    <w:abstractNumId w:val="26"/>
  </w:num>
  <w:num w:numId="49">
    <w:abstractNumId w:val="5"/>
  </w:num>
  <w:num w:numId="50">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F28"/>
    <w:rsid w:val="0000470B"/>
    <w:rsid w:val="00004F8F"/>
    <w:rsid w:val="000051C9"/>
    <w:rsid w:val="000057DF"/>
    <w:rsid w:val="00005C0F"/>
    <w:rsid w:val="0000640E"/>
    <w:rsid w:val="00006D60"/>
    <w:rsid w:val="000075E4"/>
    <w:rsid w:val="00007EEE"/>
    <w:rsid w:val="0001002B"/>
    <w:rsid w:val="00010AEE"/>
    <w:rsid w:val="00011A8E"/>
    <w:rsid w:val="00011F2D"/>
    <w:rsid w:val="000135DD"/>
    <w:rsid w:val="00013640"/>
    <w:rsid w:val="00013F4F"/>
    <w:rsid w:val="00014DAE"/>
    <w:rsid w:val="000167F2"/>
    <w:rsid w:val="00016D16"/>
    <w:rsid w:val="00017366"/>
    <w:rsid w:val="000179DF"/>
    <w:rsid w:val="00017AF9"/>
    <w:rsid w:val="000213CE"/>
    <w:rsid w:val="00022342"/>
    <w:rsid w:val="000237B9"/>
    <w:rsid w:val="00023E07"/>
    <w:rsid w:val="00024429"/>
    <w:rsid w:val="0002572A"/>
    <w:rsid w:val="00026B21"/>
    <w:rsid w:val="00027311"/>
    <w:rsid w:val="000277B2"/>
    <w:rsid w:val="00027D60"/>
    <w:rsid w:val="0003069E"/>
    <w:rsid w:val="00031103"/>
    <w:rsid w:val="00031AF6"/>
    <w:rsid w:val="000324B4"/>
    <w:rsid w:val="00032D3A"/>
    <w:rsid w:val="00035879"/>
    <w:rsid w:val="00036AAB"/>
    <w:rsid w:val="00040FA2"/>
    <w:rsid w:val="00041F81"/>
    <w:rsid w:val="00042044"/>
    <w:rsid w:val="00042761"/>
    <w:rsid w:val="00042A4F"/>
    <w:rsid w:val="000433C7"/>
    <w:rsid w:val="0004621B"/>
    <w:rsid w:val="00046335"/>
    <w:rsid w:val="00047015"/>
    <w:rsid w:val="0005061C"/>
    <w:rsid w:val="00050B2A"/>
    <w:rsid w:val="0005126B"/>
    <w:rsid w:val="0005135D"/>
    <w:rsid w:val="000529B3"/>
    <w:rsid w:val="00052A8F"/>
    <w:rsid w:val="00052A90"/>
    <w:rsid w:val="00052AC5"/>
    <w:rsid w:val="000530D9"/>
    <w:rsid w:val="0005365D"/>
    <w:rsid w:val="0005434F"/>
    <w:rsid w:val="00055864"/>
    <w:rsid w:val="00055E6D"/>
    <w:rsid w:val="00055FB3"/>
    <w:rsid w:val="00057B28"/>
    <w:rsid w:val="00057BAE"/>
    <w:rsid w:val="00060362"/>
    <w:rsid w:val="00060CD9"/>
    <w:rsid w:val="00061919"/>
    <w:rsid w:val="00061B41"/>
    <w:rsid w:val="00061C59"/>
    <w:rsid w:val="00062E5A"/>
    <w:rsid w:val="00063883"/>
    <w:rsid w:val="0006596D"/>
    <w:rsid w:val="00066564"/>
    <w:rsid w:val="000668DB"/>
    <w:rsid w:val="00066C19"/>
    <w:rsid w:val="00067182"/>
    <w:rsid w:val="000672BA"/>
    <w:rsid w:val="00067C1B"/>
    <w:rsid w:val="0007045A"/>
    <w:rsid w:val="00070D16"/>
    <w:rsid w:val="000718D9"/>
    <w:rsid w:val="000721FC"/>
    <w:rsid w:val="00072247"/>
    <w:rsid w:val="00072382"/>
    <w:rsid w:val="000724AD"/>
    <w:rsid w:val="0007275A"/>
    <w:rsid w:val="000735D9"/>
    <w:rsid w:val="00073A24"/>
    <w:rsid w:val="00074D6C"/>
    <w:rsid w:val="00075668"/>
    <w:rsid w:val="000769AA"/>
    <w:rsid w:val="00076D1F"/>
    <w:rsid w:val="00076E8C"/>
    <w:rsid w:val="000803A9"/>
    <w:rsid w:val="00080800"/>
    <w:rsid w:val="00081CA2"/>
    <w:rsid w:val="000832A0"/>
    <w:rsid w:val="00084628"/>
    <w:rsid w:val="000857F2"/>
    <w:rsid w:val="0008594B"/>
    <w:rsid w:val="00085FE0"/>
    <w:rsid w:val="00087350"/>
    <w:rsid w:val="0008796B"/>
    <w:rsid w:val="0009030C"/>
    <w:rsid w:val="00091A7F"/>
    <w:rsid w:val="00091F76"/>
    <w:rsid w:val="00093C23"/>
    <w:rsid w:val="00093FC2"/>
    <w:rsid w:val="00095772"/>
    <w:rsid w:val="00096045"/>
    <w:rsid w:val="000963AE"/>
    <w:rsid w:val="0009684F"/>
    <w:rsid w:val="00096C16"/>
    <w:rsid w:val="00097F75"/>
    <w:rsid w:val="000A105F"/>
    <w:rsid w:val="000A1943"/>
    <w:rsid w:val="000A207F"/>
    <w:rsid w:val="000A23B2"/>
    <w:rsid w:val="000A29C6"/>
    <w:rsid w:val="000A2CA6"/>
    <w:rsid w:val="000A33B5"/>
    <w:rsid w:val="000A4871"/>
    <w:rsid w:val="000A4A16"/>
    <w:rsid w:val="000A4FF9"/>
    <w:rsid w:val="000A51A1"/>
    <w:rsid w:val="000A525A"/>
    <w:rsid w:val="000A6510"/>
    <w:rsid w:val="000B1523"/>
    <w:rsid w:val="000B1A6A"/>
    <w:rsid w:val="000B1BC6"/>
    <w:rsid w:val="000B2ADC"/>
    <w:rsid w:val="000B2C9C"/>
    <w:rsid w:val="000B2DE4"/>
    <w:rsid w:val="000B31DD"/>
    <w:rsid w:val="000B3334"/>
    <w:rsid w:val="000B3D9D"/>
    <w:rsid w:val="000B462B"/>
    <w:rsid w:val="000B484A"/>
    <w:rsid w:val="000B4C2A"/>
    <w:rsid w:val="000B53C1"/>
    <w:rsid w:val="000B5B8E"/>
    <w:rsid w:val="000C0BE5"/>
    <w:rsid w:val="000C18F3"/>
    <w:rsid w:val="000C20EA"/>
    <w:rsid w:val="000C2715"/>
    <w:rsid w:val="000C3142"/>
    <w:rsid w:val="000C3C4D"/>
    <w:rsid w:val="000C3D83"/>
    <w:rsid w:val="000C4751"/>
    <w:rsid w:val="000C52F4"/>
    <w:rsid w:val="000C583D"/>
    <w:rsid w:val="000C6BD6"/>
    <w:rsid w:val="000C6F10"/>
    <w:rsid w:val="000C735C"/>
    <w:rsid w:val="000C7570"/>
    <w:rsid w:val="000C7E99"/>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475"/>
    <w:rsid w:val="000E2D68"/>
    <w:rsid w:val="000E2DED"/>
    <w:rsid w:val="000E34C8"/>
    <w:rsid w:val="000E3586"/>
    <w:rsid w:val="000E36EA"/>
    <w:rsid w:val="000E4593"/>
    <w:rsid w:val="000E4E27"/>
    <w:rsid w:val="000E5660"/>
    <w:rsid w:val="000E63C3"/>
    <w:rsid w:val="000E669F"/>
    <w:rsid w:val="000E7141"/>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6AD"/>
    <w:rsid w:val="000F4AC4"/>
    <w:rsid w:val="000F5664"/>
    <w:rsid w:val="000F5A66"/>
    <w:rsid w:val="000F623B"/>
    <w:rsid w:val="000F6CB2"/>
    <w:rsid w:val="000F6CDC"/>
    <w:rsid w:val="000F7F8E"/>
    <w:rsid w:val="0010028D"/>
    <w:rsid w:val="00100BF3"/>
    <w:rsid w:val="00100F09"/>
    <w:rsid w:val="001015B9"/>
    <w:rsid w:val="00101845"/>
    <w:rsid w:val="00102510"/>
    <w:rsid w:val="00102B71"/>
    <w:rsid w:val="001033FB"/>
    <w:rsid w:val="0010354A"/>
    <w:rsid w:val="00104263"/>
    <w:rsid w:val="00110EFB"/>
    <w:rsid w:val="00111437"/>
    <w:rsid w:val="0011159B"/>
    <w:rsid w:val="001115A6"/>
    <w:rsid w:val="00111F3B"/>
    <w:rsid w:val="00111F79"/>
    <w:rsid w:val="00112BA9"/>
    <w:rsid w:val="00114738"/>
    <w:rsid w:val="00114D8B"/>
    <w:rsid w:val="0011502D"/>
    <w:rsid w:val="0011558F"/>
    <w:rsid w:val="0011577C"/>
    <w:rsid w:val="001168FA"/>
    <w:rsid w:val="00117778"/>
    <w:rsid w:val="001178F2"/>
    <w:rsid w:val="00120041"/>
    <w:rsid w:val="001203AA"/>
    <w:rsid w:val="00120B4C"/>
    <w:rsid w:val="0012219A"/>
    <w:rsid w:val="0012527C"/>
    <w:rsid w:val="00125368"/>
    <w:rsid w:val="001254C4"/>
    <w:rsid w:val="00126EAB"/>
    <w:rsid w:val="00127535"/>
    <w:rsid w:val="00130AA2"/>
    <w:rsid w:val="00130ED8"/>
    <w:rsid w:val="001311CC"/>
    <w:rsid w:val="00131AD0"/>
    <w:rsid w:val="0013241F"/>
    <w:rsid w:val="00132BF6"/>
    <w:rsid w:val="00133470"/>
    <w:rsid w:val="00133677"/>
    <w:rsid w:val="00134EFD"/>
    <w:rsid w:val="00134F1D"/>
    <w:rsid w:val="001354B2"/>
    <w:rsid w:val="00135B20"/>
    <w:rsid w:val="00135EB8"/>
    <w:rsid w:val="00137ED4"/>
    <w:rsid w:val="00140270"/>
    <w:rsid w:val="00140C24"/>
    <w:rsid w:val="001421A8"/>
    <w:rsid w:val="00142231"/>
    <w:rsid w:val="00142391"/>
    <w:rsid w:val="00142630"/>
    <w:rsid w:val="00142768"/>
    <w:rsid w:val="00143951"/>
    <w:rsid w:val="00144866"/>
    <w:rsid w:val="00145ED7"/>
    <w:rsid w:val="0014605C"/>
    <w:rsid w:val="00146EC4"/>
    <w:rsid w:val="00147E0D"/>
    <w:rsid w:val="001500D7"/>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5179"/>
    <w:rsid w:val="00166DF7"/>
    <w:rsid w:val="00167432"/>
    <w:rsid w:val="00170486"/>
    <w:rsid w:val="0017094F"/>
    <w:rsid w:val="00172587"/>
    <w:rsid w:val="00172588"/>
    <w:rsid w:val="001726E9"/>
    <w:rsid w:val="001726EA"/>
    <w:rsid w:val="0017281E"/>
    <w:rsid w:val="00172C51"/>
    <w:rsid w:val="001738F4"/>
    <w:rsid w:val="00173A12"/>
    <w:rsid w:val="00173E27"/>
    <w:rsid w:val="00174542"/>
    <w:rsid w:val="00174768"/>
    <w:rsid w:val="001752D3"/>
    <w:rsid w:val="00177929"/>
    <w:rsid w:val="0018067C"/>
    <w:rsid w:val="00180D1C"/>
    <w:rsid w:val="0018252D"/>
    <w:rsid w:val="0018259F"/>
    <w:rsid w:val="00182960"/>
    <w:rsid w:val="001839DA"/>
    <w:rsid w:val="00183F42"/>
    <w:rsid w:val="00184118"/>
    <w:rsid w:val="00184232"/>
    <w:rsid w:val="00184BE0"/>
    <w:rsid w:val="001852C0"/>
    <w:rsid w:val="00185B5F"/>
    <w:rsid w:val="00185D5D"/>
    <w:rsid w:val="001867BC"/>
    <w:rsid w:val="00186D84"/>
    <w:rsid w:val="00187180"/>
    <w:rsid w:val="0018745C"/>
    <w:rsid w:val="00190C7B"/>
    <w:rsid w:val="0019116A"/>
    <w:rsid w:val="00191B11"/>
    <w:rsid w:val="00191FBA"/>
    <w:rsid w:val="00192157"/>
    <w:rsid w:val="00192548"/>
    <w:rsid w:val="00192B37"/>
    <w:rsid w:val="0019311E"/>
    <w:rsid w:val="00194A90"/>
    <w:rsid w:val="00197701"/>
    <w:rsid w:val="001A0E97"/>
    <w:rsid w:val="001A1741"/>
    <w:rsid w:val="001A192E"/>
    <w:rsid w:val="001A21BA"/>
    <w:rsid w:val="001A3ADC"/>
    <w:rsid w:val="001A498A"/>
    <w:rsid w:val="001A4A31"/>
    <w:rsid w:val="001A5E45"/>
    <w:rsid w:val="001A5F0B"/>
    <w:rsid w:val="001A7B67"/>
    <w:rsid w:val="001A7BC2"/>
    <w:rsid w:val="001B0624"/>
    <w:rsid w:val="001B07BC"/>
    <w:rsid w:val="001B16EC"/>
    <w:rsid w:val="001B1CA7"/>
    <w:rsid w:val="001B3005"/>
    <w:rsid w:val="001B32BE"/>
    <w:rsid w:val="001B3E8E"/>
    <w:rsid w:val="001B3E9B"/>
    <w:rsid w:val="001B41F1"/>
    <w:rsid w:val="001B5230"/>
    <w:rsid w:val="001B58B6"/>
    <w:rsid w:val="001B677A"/>
    <w:rsid w:val="001B7FBA"/>
    <w:rsid w:val="001C004F"/>
    <w:rsid w:val="001C0109"/>
    <w:rsid w:val="001C15C6"/>
    <w:rsid w:val="001C1997"/>
    <w:rsid w:val="001C1F12"/>
    <w:rsid w:val="001C34B5"/>
    <w:rsid w:val="001C3C0F"/>
    <w:rsid w:val="001C4BD4"/>
    <w:rsid w:val="001C4CE3"/>
    <w:rsid w:val="001C4EE7"/>
    <w:rsid w:val="001C6000"/>
    <w:rsid w:val="001C68B2"/>
    <w:rsid w:val="001C7D09"/>
    <w:rsid w:val="001D06AC"/>
    <w:rsid w:val="001D07A5"/>
    <w:rsid w:val="001D0FC8"/>
    <w:rsid w:val="001D25A5"/>
    <w:rsid w:val="001D29EA"/>
    <w:rsid w:val="001D2D0F"/>
    <w:rsid w:val="001D2F18"/>
    <w:rsid w:val="001D35C5"/>
    <w:rsid w:val="001D5CD9"/>
    <w:rsid w:val="001D5F1A"/>
    <w:rsid w:val="001D6714"/>
    <w:rsid w:val="001D6A2F"/>
    <w:rsid w:val="001D6DB2"/>
    <w:rsid w:val="001D7683"/>
    <w:rsid w:val="001E0970"/>
    <w:rsid w:val="001E1C9C"/>
    <w:rsid w:val="001E213E"/>
    <w:rsid w:val="001E272E"/>
    <w:rsid w:val="001E4343"/>
    <w:rsid w:val="001E582A"/>
    <w:rsid w:val="001E5F09"/>
    <w:rsid w:val="001E71E2"/>
    <w:rsid w:val="001E7525"/>
    <w:rsid w:val="001E7AF7"/>
    <w:rsid w:val="001E7F0E"/>
    <w:rsid w:val="001F0A4A"/>
    <w:rsid w:val="001F0B79"/>
    <w:rsid w:val="001F0CE9"/>
    <w:rsid w:val="001F247D"/>
    <w:rsid w:val="001F2C69"/>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4728"/>
    <w:rsid w:val="002063BA"/>
    <w:rsid w:val="00206BFE"/>
    <w:rsid w:val="00207EA5"/>
    <w:rsid w:val="002116AB"/>
    <w:rsid w:val="0021351F"/>
    <w:rsid w:val="00214EEC"/>
    <w:rsid w:val="0021523D"/>
    <w:rsid w:val="002164FA"/>
    <w:rsid w:val="002177DE"/>
    <w:rsid w:val="002204EA"/>
    <w:rsid w:val="0022072E"/>
    <w:rsid w:val="00220CC8"/>
    <w:rsid w:val="00220E5C"/>
    <w:rsid w:val="00223950"/>
    <w:rsid w:val="00224545"/>
    <w:rsid w:val="00224626"/>
    <w:rsid w:val="00224B65"/>
    <w:rsid w:val="00224B8B"/>
    <w:rsid w:val="00224D60"/>
    <w:rsid w:val="00224F96"/>
    <w:rsid w:val="00225036"/>
    <w:rsid w:val="0022573F"/>
    <w:rsid w:val="00225A4C"/>
    <w:rsid w:val="00225AE0"/>
    <w:rsid w:val="00225B36"/>
    <w:rsid w:val="00226321"/>
    <w:rsid w:val="00226568"/>
    <w:rsid w:val="00227C4E"/>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148D"/>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6D34"/>
    <w:rsid w:val="00256EFA"/>
    <w:rsid w:val="00257498"/>
    <w:rsid w:val="002605AA"/>
    <w:rsid w:val="002624F5"/>
    <w:rsid w:val="0026277E"/>
    <w:rsid w:val="00262C5E"/>
    <w:rsid w:val="00263976"/>
    <w:rsid w:val="002639D7"/>
    <w:rsid w:val="00263ED3"/>
    <w:rsid w:val="00264921"/>
    <w:rsid w:val="00264BC8"/>
    <w:rsid w:val="00265439"/>
    <w:rsid w:val="00270264"/>
    <w:rsid w:val="0027285A"/>
    <w:rsid w:val="00272C9C"/>
    <w:rsid w:val="00273887"/>
    <w:rsid w:val="00273DC9"/>
    <w:rsid w:val="00280419"/>
    <w:rsid w:val="002805F1"/>
    <w:rsid w:val="00280C6D"/>
    <w:rsid w:val="00281337"/>
    <w:rsid w:val="002818AC"/>
    <w:rsid w:val="00281BFA"/>
    <w:rsid w:val="00283B74"/>
    <w:rsid w:val="00285772"/>
    <w:rsid w:val="002860F4"/>
    <w:rsid w:val="002872FB"/>
    <w:rsid w:val="00287364"/>
    <w:rsid w:val="00287516"/>
    <w:rsid w:val="00287D33"/>
    <w:rsid w:val="00291AA4"/>
    <w:rsid w:val="0029255D"/>
    <w:rsid w:val="00292A88"/>
    <w:rsid w:val="00292E99"/>
    <w:rsid w:val="0029480F"/>
    <w:rsid w:val="002951FC"/>
    <w:rsid w:val="002971F7"/>
    <w:rsid w:val="002A039E"/>
    <w:rsid w:val="002A1CBA"/>
    <w:rsid w:val="002A1FDF"/>
    <w:rsid w:val="002A42DA"/>
    <w:rsid w:val="002A4A3B"/>
    <w:rsid w:val="002A50AA"/>
    <w:rsid w:val="002A5A3A"/>
    <w:rsid w:val="002A5DC6"/>
    <w:rsid w:val="002A6373"/>
    <w:rsid w:val="002A63CB"/>
    <w:rsid w:val="002B07C7"/>
    <w:rsid w:val="002B0F80"/>
    <w:rsid w:val="002B1095"/>
    <w:rsid w:val="002B11BE"/>
    <w:rsid w:val="002B23C5"/>
    <w:rsid w:val="002B2C10"/>
    <w:rsid w:val="002B2EB8"/>
    <w:rsid w:val="002B368A"/>
    <w:rsid w:val="002B3AE8"/>
    <w:rsid w:val="002B3C3A"/>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4C23"/>
    <w:rsid w:val="002C6287"/>
    <w:rsid w:val="002C6DB8"/>
    <w:rsid w:val="002C741C"/>
    <w:rsid w:val="002D14F3"/>
    <w:rsid w:val="002D1A3B"/>
    <w:rsid w:val="002D3252"/>
    <w:rsid w:val="002D409D"/>
    <w:rsid w:val="002D43CF"/>
    <w:rsid w:val="002D4EAD"/>
    <w:rsid w:val="002D5B4C"/>
    <w:rsid w:val="002E04A3"/>
    <w:rsid w:val="002E1A17"/>
    <w:rsid w:val="002E499D"/>
    <w:rsid w:val="002E4D26"/>
    <w:rsid w:val="002E7007"/>
    <w:rsid w:val="002E7934"/>
    <w:rsid w:val="002F10C0"/>
    <w:rsid w:val="002F397A"/>
    <w:rsid w:val="002F3FAE"/>
    <w:rsid w:val="002F4449"/>
    <w:rsid w:val="002F4CA7"/>
    <w:rsid w:val="002F5616"/>
    <w:rsid w:val="002F58F8"/>
    <w:rsid w:val="002F68B2"/>
    <w:rsid w:val="002F6BC2"/>
    <w:rsid w:val="002F6D13"/>
    <w:rsid w:val="002F756D"/>
    <w:rsid w:val="003000EB"/>
    <w:rsid w:val="003013DF"/>
    <w:rsid w:val="00302D2F"/>
    <w:rsid w:val="003032B7"/>
    <w:rsid w:val="003037CD"/>
    <w:rsid w:val="0030654E"/>
    <w:rsid w:val="00306C5D"/>
    <w:rsid w:val="0030763B"/>
    <w:rsid w:val="00307F52"/>
    <w:rsid w:val="0031167A"/>
    <w:rsid w:val="00311A62"/>
    <w:rsid w:val="00311D9B"/>
    <w:rsid w:val="00312CFF"/>
    <w:rsid w:val="0031334F"/>
    <w:rsid w:val="003140E8"/>
    <w:rsid w:val="00314278"/>
    <w:rsid w:val="00314870"/>
    <w:rsid w:val="003150B0"/>
    <w:rsid w:val="003165DA"/>
    <w:rsid w:val="00317075"/>
    <w:rsid w:val="003171BB"/>
    <w:rsid w:val="003179C9"/>
    <w:rsid w:val="00320D05"/>
    <w:rsid w:val="003211C9"/>
    <w:rsid w:val="00321B25"/>
    <w:rsid w:val="00322939"/>
    <w:rsid w:val="00322C8D"/>
    <w:rsid w:val="003230B3"/>
    <w:rsid w:val="00323F7A"/>
    <w:rsid w:val="003241CB"/>
    <w:rsid w:val="00324758"/>
    <w:rsid w:val="00324B8F"/>
    <w:rsid w:val="0032556E"/>
    <w:rsid w:val="00325A29"/>
    <w:rsid w:val="003268BA"/>
    <w:rsid w:val="00327656"/>
    <w:rsid w:val="00327A9B"/>
    <w:rsid w:val="003305C3"/>
    <w:rsid w:val="0033117F"/>
    <w:rsid w:val="00331561"/>
    <w:rsid w:val="00332950"/>
    <w:rsid w:val="00332A8C"/>
    <w:rsid w:val="00332C78"/>
    <w:rsid w:val="003346C1"/>
    <w:rsid w:val="00335026"/>
    <w:rsid w:val="00336C5C"/>
    <w:rsid w:val="00336FFD"/>
    <w:rsid w:val="003377DA"/>
    <w:rsid w:val="003378CB"/>
    <w:rsid w:val="003379B0"/>
    <w:rsid w:val="00337C9F"/>
    <w:rsid w:val="0034043F"/>
    <w:rsid w:val="00340E5F"/>
    <w:rsid w:val="00341CEA"/>
    <w:rsid w:val="0034254D"/>
    <w:rsid w:val="00342F4F"/>
    <w:rsid w:val="003448CE"/>
    <w:rsid w:val="003454B8"/>
    <w:rsid w:val="0034618D"/>
    <w:rsid w:val="0034664E"/>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B1B"/>
    <w:rsid w:val="00362BCA"/>
    <w:rsid w:val="00363049"/>
    <w:rsid w:val="0036395E"/>
    <w:rsid w:val="00364926"/>
    <w:rsid w:val="003651C5"/>
    <w:rsid w:val="00365D17"/>
    <w:rsid w:val="003664C3"/>
    <w:rsid w:val="00366CCA"/>
    <w:rsid w:val="00366F31"/>
    <w:rsid w:val="00367A0D"/>
    <w:rsid w:val="003706ED"/>
    <w:rsid w:val="00371E8A"/>
    <w:rsid w:val="00371EAE"/>
    <w:rsid w:val="003731DC"/>
    <w:rsid w:val="0037332C"/>
    <w:rsid w:val="00373D27"/>
    <w:rsid w:val="00374BE6"/>
    <w:rsid w:val="0037501D"/>
    <w:rsid w:val="00377F9E"/>
    <w:rsid w:val="0038104D"/>
    <w:rsid w:val="003810E8"/>
    <w:rsid w:val="0038170D"/>
    <w:rsid w:val="00382067"/>
    <w:rsid w:val="003827C9"/>
    <w:rsid w:val="00383CE6"/>
    <w:rsid w:val="00384695"/>
    <w:rsid w:val="0038496E"/>
    <w:rsid w:val="00384D96"/>
    <w:rsid w:val="0038523D"/>
    <w:rsid w:val="003858E4"/>
    <w:rsid w:val="00385AAD"/>
    <w:rsid w:val="00386515"/>
    <w:rsid w:val="00386C0B"/>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12AC"/>
    <w:rsid w:val="003A313E"/>
    <w:rsid w:val="003A35CF"/>
    <w:rsid w:val="003A4354"/>
    <w:rsid w:val="003A443F"/>
    <w:rsid w:val="003A4DEC"/>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7801"/>
    <w:rsid w:val="003C02B6"/>
    <w:rsid w:val="003C09A3"/>
    <w:rsid w:val="003C09BD"/>
    <w:rsid w:val="003C11AC"/>
    <w:rsid w:val="003C3120"/>
    <w:rsid w:val="003C3443"/>
    <w:rsid w:val="003C456B"/>
    <w:rsid w:val="003C4C8D"/>
    <w:rsid w:val="003C72EE"/>
    <w:rsid w:val="003C7E0D"/>
    <w:rsid w:val="003C7F9F"/>
    <w:rsid w:val="003D0455"/>
    <w:rsid w:val="003D15A1"/>
    <w:rsid w:val="003D2450"/>
    <w:rsid w:val="003D24E7"/>
    <w:rsid w:val="003D273D"/>
    <w:rsid w:val="003D2D2C"/>
    <w:rsid w:val="003D3068"/>
    <w:rsid w:val="003D37E4"/>
    <w:rsid w:val="003D3EEA"/>
    <w:rsid w:val="003D5C1A"/>
    <w:rsid w:val="003D5EEB"/>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A09"/>
    <w:rsid w:val="003F05C1"/>
    <w:rsid w:val="003F1A2A"/>
    <w:rsid w:val="003F1E4A"/>
    <w:rsid w:val="003F20EB"/>
    <w:rsid w:val="003F253D"/>
    <w:rsid w:val="003F2D08"/>
    <w:rsid w:val="003F2DD5"/>
    <w:rsid w:val="003F3ACB"/>
    <w:rsid w:val="003F411D"/>
    <w:rsid w:val="003F430C"/>
    <w:rsid w:val="003F4E8A"/>
    <w:rsid w:val="003F5102"/>
    <w:rsid w:val="003F614C"/>
    <w:rsid w:val="003F61F4"/>
    <w:rsid w:val="003F6C3A"/>
    <w:rsid w:val="003F701E"/>
    <w:rsid w:val="003F7140"/>
    <w:rsid w:val="003F7E57"/>
    <w:rsid w:val="00400026"/>
    <w:rsid w:val="0040226A"/>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15130"/>
    <w:rsid w:val="00420193"/>
    <w:rsid w:val="0042059A"/>
    <w:rsid w:val="00420701"/>
    <w:rsid w:val="00420745"/>
    <w:rsid w:val="00421F27"/>
    <w:rsid w:val="00422D08"/>
    <w:rsid w:val="00425B94"/>
    <w:rsid w:val="00427DC8"/>
    <w:rsid w:val="00432C91"/>
    <w:rsid w:val="00434528"/>
    <w:rsid w:val="00436A9D"/>
    <w:rsid w:val="004373A6"/>
    <w:rsid w:val="004375FE"/>
    <w:rsid w:val="00437604"/>
    <w:rsid w:val="00437704"/>
    <w:rsid w:val="00440089"/>
    <w:rsid w:val="0044059A"/>
    <w:rsid w:val="00440F45"/>
    <w:rsid w:val="004414AC"/>
    <w:rsid w:val="00441B76"/>
    <w:rsid w:val="00442F8C"/>
    <w:rsid w:val="00443BBF"/>
    <w:rsid w:val="00444B94"/>
    <w:rsid w:val="004461A3"/>
    <w:rsid w:val="00447F5B"/>
    <w:rsid w:val="0045072F"/>
    <w:rsid w:val="00450911"/>
    <w:rsid w:val="00450C58"/>
    <w:rsid w:val="0045113A"/>
    <w:rsid w:val="004522B2"/>
    <w:rsid w:val="004526D4"/>
    <w:rsid w:val="00453445"/>
    <w:rsid w:val="00454488"/>
    <w:rsid w:val="00454F14"/>
    <w:rsid w:val="004559A1"/>
    <w:rsid w:val="00456CBD"/>
    <w:rsid w:val="00456F20"/>
    <w:rsid w:val="0045766E"/>
    <w:rsid w:val="004576AA"/>
    <w:rsid w:val="00457BBD"/>
    <w:rsid w:val="00457C55"/>
    <w:rsid w:val="004603A1"/>
    <w:rsid w:val="00460973"/>
    <w:rsid w:val="00461015"/>
    <w:rsid w:val="0046128A"/>
    <w:rsid w:val="00461F41"/>
    <w:rsid w:val="00462292"/>
    <w:rsid w:val="00462325"/>
    <w:rsid w:val="004626F7"/>
    <w:rsid w:val="00462753"/>
    <w:rsid w:val="00462C14"/>
    <w:rsid w:val="00464786"/>
    <w:rsid w:val="00464A7E"/>
    <w:rsid w:val="00465078"/>
    <w:rsid w:val="0046507A"/>
    <w:rsid w:val="00466096"/>
    <w:rsid w:val="00466400"/>
    <w:rsid w:val="004677C6"/>
    <w:rsid w:val="00467842"/>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77B1B"/>
    <w:rsid w:val="0048083A"/>
    <w:rsid w:val="00480C7A"/>
    <w:rsid w:val="0048121F"/>
    <w:rsid w:val="00481864"/>
    <w:rsid w:val="004857BA"/>
    <w:rsid w:val="00485FE7"/>
    <w:rsid w:val="00486CE0"/>
    <w:rsid w:val="00486F40"/>
    <w:rsid w:val="00487A90"/>
    <w:rsid w:val="00490EB5"/>
    <w:rsid w:val="00491B56"/>
    <w:rsid w:val="00493848"/>
    <w:rsid w:val="00494AD8"/>
    <w:rsid w:val="0049781A"/>
    <w:rsid w:val="004A0B27"/>
    <w:rsid w:val="004A0C80"/>
    <w:rsid w:val="004A0D5B"/>
    <w:rsid w:val="004A2D23"/>
    <w:rsid w:val="004A305F"/>
    <w:rsid w:val="004A37FB"/>
    <w:rsid w:val="004A3957"/>
    <w:rsid w:val="004A51E8"/>
    <w:rsid w:val="004A5506"/>
    <w:rsid w:val="004A608F"/>
    <w:rsid w:val="004A7311"/>
    <w:rsid w:val="004A74BA"/>
    <w:rsid w:val="004B067D"/>
    <w:rsid w:val="004B131E"/>
    <w:rsid w:val="004B459D"/>
    <w:rsid w:val="004B45AF"/>
    <w:rsid w:val="004B4AC8"/>
    <w:rsid w:val="004B6AB7"/>
    <w:rsid w:val="004B78D9"/>
    <w:rsid w:val="004C1326"/>
    <w:rsid w:val="004C1417"/>
    <w:rsid w:val="004C18ED"/>
    <w:rsid w:val="004C3AC1"/>
    <w:rsid w:val="004C4A6D"/>
    <w:rsid w:val="004C4BDC"/>
    <w:rsid w:val="004C519C"/>
    <w:rsid w:val="004C51B7"/>
    <w:rsid w:val="004C55AC"/>
    <w:rsid w:val="004C6AA3"/>
    <w:rsid w:val="004C7281"/>
    <w:rsid w:val="004D0ED6"/>
    <w:rsid w:val="004D1D0F"/>
    <w:rsid w:val="004D1DAF"/>
    <w:rsid w:val="004D21D7"/>
    <w:rsid w:val="004D3B6D"/>
    <w:rsid w:val="004D4135"/>
    <w:rsid w:val="004D4452"/>
    <w:rsid w:val="004D717E"/>
    <w:rsid w:val="004D7226"/>
    <w:rsid w:val="004D7469"/>
    <w:rsid w:val="004D7664"/>
    <w:rsid w:val="004D7B7B"/>
    <w:rsid w:val="004E0AE5"/>
    <w:rsid w:val="004E0DDC"/>
    <w:rsid w:val="004E181A"/>
    <w:rsid w:val="004E2573"/>
    <w:rsid w:val="004E2655"/>
    <w:rsid w:val="004E2FC3"/>
    <w:rsid w:val="004E33AA"/>
    <w:rsid w:val="004E33D3"/>
    <w:rsid w:val="004E3C80"/>
    <w:rsid w:val="004E4A28"/>
    <w:rsid w:val="004E658F"/>
    <w:rsid w:val="004E72A1"/>
    <w:rsid w:val="004F118D"/>
    <w:rsid w:val="004F2D5D"/>
    <w:rsid w:val="004F3C24"/>
    <w:rsid w:val="004F434A"/>
    <w:rsid w:val="004F4C94"/>
    <w:rsid w:val="004F51CB"/>
    <w:rsid w:val="004F5E5F"/>
    <w:rsid w:val="004F7116"/>
    <w:rsid w:val="004F712D"/>
    <w:rsid w:val="004F756F"/>
    <w:rsid w:val="005001A3"/>
    <w:rsid w:val="005007BF"/>
    <w:rsid w:val="00501BD7"/>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076F1"/>
    <w:rsid w:val="005102BC"/>
    <w:rsid w:val="00511F61"/>
    <w:rsid w:val="005121D8"/>
    <w:rsid w:val="0051462C"/>
    <w:rsid w:val="0051496C"/>
    <w:rsid w:val="00514B79"/>
    <w:rsid w:val="00514DF2"/>
    <w:rsid w:val="00514FDA"/>
    <w:rsid w:val="00516EB5"/>
    <w:rsid w:val="005175E0"/>
    <w:rsid w:val="00520546"/>
    <w:rsid w:val="00520743"/>
    <w:rsid w:val="00520FEA"/>
    <w:rsid w:val="00521C79"/>
    <w:rsid w:val="00522464"/>
    <w:rsid w:val="00522479"/>
    <w:rsid w:val="00522658"/>
    <w:rsid w:val="00523338"/>
    <w:rsid w:val="00523A75"/>
    <w:rsid w:val="0052438A"/>
    <w:rsid w:val="00525201"/>
    <w:rsid w:val="00525203"/>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8EC"/>
    <w:rsid w:val="00546DC5"/>
    <w:rsid w:val="0054763B"/>
    <w:rsid w:val="00550162"/>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6C5"/>
    <w:rsid w:val="00566C01"/>
    <w:rsid w:val="00567598"/>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270A"/>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4773"/>
    <w:rsid w:val="005A4EAA"/>
    <w:rsid w:val="005A532D"/>
    <w:rsid w:val="005A53DB"/>
    <w:rsid w:val="005A5F02"/>
    <w:rsid w:val="005A6D3B"/>
    <w:rsid w:val="005A6E8F"/>
    <w:rsid w:val="005A7A75"/>
    <w:rsid w:val="005A7BD4"/>
    <w:rsid w:val="005B0BBC"/>
    <w:rsid w:val="005B0BF3"/>
    <w:rsid w:val="005B14FF"/>
    <w:rsid w:val="005B1CD7"/>
    <w:rsid w:val="005B289F"/>
    <w:rsid w:val="005B2DC1"/>
    <w:rsid w:val="005B3355"/>
    <w:rsid w:val="005B3493"/>
    <w:rsid w:val="005B34D4"/>
    <w:rsid w:val="005B5DFA"/>
    <w:rsid w:val="005B6437"/>
    <w:rsid w:val="005C0A7E"/>
    <w:rsid w:val="005C41F8"/>
    <w:rsid w:val="005C440F"/>
    <w:rsid w:val="005C52BF"/>
    <w:rsid w:val="005C5476"/>
    <w:rsid w:val="005C641A"/>
    <w:rsid w:val="005C750B"/>
    <w:rsid w:val="005C79B4"/>
    <w:rsid w:val="005D0347"/>
    <w:rsid w:val="005D0472"/>
    <w:rsid w:val="005D0983"/>
    <w:rsid w:val="005D0F52"/>
    <w:rsid w:val="005D1118"/>
    <w:rsid w:val="005D1708"/>
    <w:rsid w:val="005D1FCD"/>
    <w:rsid w:val="005D2708"/>
    <w:rsid w:val="005D2869"/>
    <w:rsid w:val="005D4ABB"/>
    <w:rsid w:val="005D4C96"/>
    <w:rsid w:val="005D4CAA"/>
    <w:rsid w:val="005D5460"/>
    <w:rsid w:val="005D61B2"/>
    <w:rsid w:val="005D7A04"/>
    <w:rsid w:val="005D7D54"/>
    <w:rsid w:val="005E08FB"/>
    <w:rsid w:val="005E29AA"/>
    <w:rsid w:val="005E35B0"/>
    <w:rsid w:val="005E529F"/>
    <w:rsid w:val="005E6B50"/>
    <w:rsid w:val="005E6F1D"/>
    <w:rsid w:val="005E7D28"/>
    <w:rsid w:val="005F03B9"/>
    <w:rsid w:val="005F03D4"/>
    <w:rsid w:val="005F0425"/>
    <w:rsid w:val="005F2532"/>
    <w:rsid w:val="005F3967"/>
    <w:rsid w:val="005F3A8D"/>
    <w:rsid w:val="005F400D"/>
    <w:rsid w:val="005F4062"/>
    <w:rsid w:val="005F5031"/>
    <w:rsid w:val="005F603E"/>
    <w:rsid w:val="005F62B1"/>
    <w:rsid w:val="005F6690"/>
    <w:rsid w:val="005F6CA0"/>
    <w:rsid w:val="005F7C43"/>
    <w:rsid w:val="0060058D"/>
    <w:rsid w:val="006005FD"/>
    <w:rsid w:val="00600FE0"/>
    <w:rsid w:val="00601D34"/>
    <w:rsid w:val="00602457"/>
    <w:rsid w:val="0060264B"/>
    <w:rsid w:val="00602F6E"/>
    <w:rsid w:val="00604C8C"/>
    <w:rsid w:val="0060550A"/>
    <w:rsid w:val="0060577A"/>
    <w:rsid w:val="00607014"/>
    <w:rsid w:val="00611C0B"/>
    <w:rsid w:val="00613208"/>
    <w:rsid w:val="0061342F"/>
    <w:rsid w:val="00613B56"/>
    <w:rsid w:val="00613D7E"/>
    <w:rsid w:val="0061407C"/>
    <w:rsid w:val="006147C9"/>
    <w:rsid w:val="00615A64"/>
    <w:rsid w:val="00615AE4"/>
    <w:rsid w:val="00616163"/>
    <w:rsid w:val="00616337"/>
    <w:rsid w:val="006170D2"/>
    <w:rsid w:val="00617EA2"/>
    <w:rsid w:val="0062197D"/>
    <w:rsid w:val="00621A6E"/>
    <w:rsid w:val="00622075"/>
    <w:rsid w:val="00623176"/>
    <w:rsid w:val="006231CB"/>
    <w:rsid w:val="0062374F"/>
    <w:rsid w:val="00623C92"/>
    <w:rsid w:val="00624196"/>
    <w:rsid w:val="00625078"/>
    <w:rsid w:val="0062509D"/>
    <w:rsid w:val="0062533B"/>
    <w:rsid w:val="00625EF2"/>
    <w:rsid w:val="00625F80"/>
    <w:rsid w:val="006267CE"/>
    <w:rsid w:val="00626972"/>
    <w:rsid w:val="00627747"/>
    <w:rsid w:val="00627996"/>
    <w:rsid w:val="00627A87"/>
    <w:rsid w:val="00631256"/>
    <w:rsid w:val="00631F2F"/>
    <w:rsid w:val="0063265F"/>
    <w:rsid w:val="006326F1"/>
    <w:rsid w:val="00633641"/>
    <w:rsid w:val="0063438C"/>
    <w:rsid w:val="0063581F"/>
    <w:rsid w:val="00637A2C"/>
    <w:rsid w:val="00637BFA"/>
    <w:rsid w:val="00637CDC"/>
    <w:rsid w:val="00641BD6"/>
    <w:rsid w:val="00642468"/>
    <w:rsid w:val="00642959"/>
    <w:rsid w:val="006435AB"/>
    <w:rsid w:val="00645AAE"/>
    <w:rsid w:val="00645F42"/>
    <w:rsid w:val="00646FCB"/>
    <w:rsid w:val="00647610"/>
    <w:rsid w:val="00650BB8"/>
    <w:rsid w:val="006511DB"/>
    <w:rsid w:val="00652482"/>
    <w:rsid w:val="00652686"/>
    <w:rsid w:val="0065320B"/>
    <w:rsid w:val="006537C9"/>
    <w:rsid w:val="006549AB"/>
    <w:rsid w:val="00655555"/>
    <w:rsid w:val="006564F5"/>
    <w:rsid w:val="00656CEB"/>
    <w:rsid w:val="006572DB"/>
    <w:rsid w:val="00657589"/>
    <w:rsid w:val="00657B8A"/>
    <w:rsid w:val="00657BCE"/>
    <w:rsid w:val="00657F16"/>
    <w:rsid w:val="00660027"/>
    <w:rsid w:val="00662550"/>
    <w:rsid w:val="00662906"/>
    <w:rsid w:val="006644C6"/>
    <w:rsid w:val="006646E2"/>
    <w:rsid w:val="00664BA7"/>
    <w:rsid w:val="00664DF6"/>
    <w:rsid w:val="00664EE0"/>
    <w:rsid w:val="00666E97"/>
    <w:rsid w:val="00672B13"/>
    <w:rsid w:val="00673A7D"/>
    <w:rsid w:val="00674442"/>
    <w:rsid w:val="00674638"/>
    <w:rsid w:val="00674ACF"/>
    <w:rsid w:val="00675D3A"/>
    <w:rsid w:val="00676297"/>
    <w:rsid w:val="0067637D"/>
    <w:rsid w:val="00681003"/>
    <w:rsid w:val="00681122"/>
    <w:rsid w:val="00683F57"/>
    <w:rsid w:val="006843DD"/>
    <w:rsid w:val="006863A3"/>
    <w:rsid w:val="006863BF"/>
    <w:rsid w:val="006879C9"/>
    <w:rsid w:val="00687B18"/>
    <w:rsid w:val="0069139A"/>
    <w:rsid w:val="00691D59"/>
    <w:rsid w:val="0069221E"/>
    <w:rsid w:val="00693300"/>
    <w:rsid w:val="006949B5"/>
    <w:rsid w:val="00694A2C"/>
    <w:rsid w:val="006954BA"/>
    <w:rsid w:val="00695B19"/>
    <w:rsid w:val="00697064"/>
    <w:rsid w:val="0069744E"/>
    <w:rsid w:val="00697B67"/>
    <w:rsid w:val="006A01D7"/>
    <w:rsid w:val="006A0D1F"/>
    <w:rsid w:val="006A0FC7"/>
    <w:rsid w:val="006A0FDC"/>
    <w:rsid w:val="006A1CDE"/>
    <w:rsid w:val="006A1CF1"/>
    <w:rsid w:val="006A1F5B"/>
    <w:rsid w:val="006A2F4C"/>
    <w:rsid w:val="006A437D"/>
    <w:rsid w:val="006A4E50"/>
    <w:rsid w:val="006A53B4"/>
    <w:rsid w:val="006A546C"/>
    <w:rsid w:val="006A5973"/>
    <w:rsid w:val="006A6565"/>
    <w:rsid w:val="006A72D1"/>
    <w:rsid w:val="006A7ABF"/>
    <w:rsid w:val="006B0265"/>
    <w:rsid w:val="006B0582"/>
    <w:rsid w:val="006B2525"/>
    <w:rsid w:val="006B2F2A"/>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14CE"/>
    <w:rsid w:val="006D203B"/>
    <w:rsid w:val="006D2173"/>
    <w:rsid w:val="006D21A1"/>
    <w:rsid w:val="006D2304"/>
    <w:rsid w:val="006D2A6D"/>
    <w:rsid w:val="006D2CBF"/>
    <w:rsid w:val="006D4BC8"/>
    <w:rsid w:val="006D4FC7"/>
    <w:rsid w:val="006D64FA"/>
    <w:rsid w:val="006D6865"/>
    <w:rsid w:val="006D70FF"/>
    <w:rsid w:val="006D76CD"/>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1BB1"/>
    <w:rsid w:val="007021B6"/>
    <w:rsid w:val="00702264"/>
    <w:rsid w:val="0070296D"/>
    <w:rsid w:val="007042AA"/>
    <w:rsid w:val="00704A98"/>
    <w:rsid w:val="007058B7"/>
    <w:rsid w:val="007059B1"/>
    <w:rsid w:val="00706DFC"/>
    <w:rsid w:val="0070745E"/>
    <w:rsid w:val="00710C3F"/>
    <w:rsid w:val="0071115E"/>
    <w:rsid w:val="007116FE"/>
    <w:rsid w:val="00711C9D"/>
    <w:rsid w:val="0071270D"/>
    <w:rsid w:val="00712912"/>
    <w:rsid w:val="00713109"/>
    <w:rsid w:val="00713C99"/>
    <w:rsid w:val="00713D61"/>
    <w:rsid w:val="007147C5"/>
    <w:rsid w:val="00715EF6"/>
    <w:rsid w:val="0071670B"/>
    <w:rsid w:val="00721B29"/>
    <w:rsid w:val="00721E11"/>
    <w:rsid w:val="00721E7C"/>
    <w:rsid w:val="0072236D"/>
    <w:rsid w:val="00723434"/>
    <w:rsid w:val="00724960"/>
    <w:rsid w:val="00725EF5"/>
    <w:rsid w:val="00726BE5"/>
    <w:rsid w:val="007278A9"/>
    <w:rsid w:val="007278C8"/>
    <w:rsid w:val="00730008"/>
    <w:rsid w:val="0073288E"/>
    <w:rsid w:val="00733709"/>
    <w:rsid w:val="00734054"/>
    <w:rsid w:val="0073420F"/>
    <w:rsid w:val="007345DF"/>
    <w:rsid w:val="0073488B"/>
    <w:rsid w:val="00735325"/>
    <w:rsid w:val="00735D0F"/>
    <w:rsid w:val="00736CC6"/>
    <w:rsid w:val="00736D17"/>
    <w:rsid w:val="007377E2"/>
    <w:rsid w:val="00740405"/>
    <w:rsid w:val="007408F5"/>
    <w:rsid w:val="00740EA2"/>
    <w:rsid w:val="00741459"/>
    <w:rsid w:val="00741A88"/>
    <w:rsid w:val="00741BB0"/>
    <w:rsid w:val="007422AF"/>
    <w:rsid w:val="00742B16"/>
    <w:rsid w:val="00743188"/>
    <w:rsid w:val="007433CD"/>
    <w:rsid w:val="00743778"/>
    <w:rsid w:val="00743F9A"/>
    <w:rsid w:val="00744C74"/>
    <w:rsid w:val="00744C89"/>
    <w:rsid w:val="00744E0C"/>
    <w:rsid w:val="00744F6F"/>
    <w:rsid w:val="0074526C"/>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5F96"/>
    <w:rsid w:val="0075613C"/>
    <w:rsid w:val="00757474"/>
    <w:rsid w:val="00760EE0"/>
    <w:rsid w:val="00761171"/>
    <w:rsid w:val="007616B8"/>
    <w:rsid w:val="00761706"/>
    <w:rsid w:val="007626D3"/>
    <w:rsid w:val="0076279C"/>
    <w:rsid w:val="00763114"/>
    <w:rsid w:val="007643DF"/>
    <w:rsid w:val="00764D1A"/>
    <w:rsid w:val="0076599A"/>
    <w:rsid w:val="00765FF7"/>
    <w:rsid w:val="00766775"/>
    <w:rsid w:val="00767578"/>
    <w:rsid w:val="00767DC7"/>
    <w:rsid w:val="0077181F"/>
    <w:rsid w:val="00771903"/>
    <w:rsid w:val="00771E29"/>
    <w:rsid w:val="00774294"/>
    <w:rsid w:val="00774B87"/>
    <w:rsid w:val="00774DC0"/>
    <w:rsid w:val="00774EE4"/>
    <w:rsid w:val="00774FB0"/>
    <w:rsid w:val="0077530A"/>
    <w:rsid w:val="00775B33"/>
    <w:rsid w:val="00782613"/>
    <w:rsid w:val="00782C8A"/>
    <w:rsid w:val="007844BE"/>
    <w:rsid w:val="00786A72"/>
    <w:rsid w:val="00787B8A"/>
    <w:rsid w:val="0079102B"/>
    <w:rsid w:val="0079221D"/>
    <w:rsid w:val="00792345"/>
    <w:rsid w:val="00794512"/>
    <w:rsid w:val="00794A0D"/>
    <w:rsid w:val="00794DF0"/>
    <w:rsid w:val="007A0156"/>
    <w:rsid w:val="007A1EDC"/>
    <w:rsid w:val="007A27B0"/>
    <w:rsid w:val="007A2B08"/>
    <w:rsid w:val="007A31EB"/>
    <w:rsid w:val="007A3826"/>
    <w:rsid w:val="007A4758"/>
    <w:rsid w:val="007A5FB3"/>
    <w:rsid w:val="007A6A69"/>
    <w:rsid w:val="007A6FDA"/>
    <w:rsid w:val="007A7602"/>
    <w:rsid w:val="007A7863"/>
    <w:rsid w:val="007B0299"/>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441"/>
    <w:rsid w:val="007D19C6"/>
    <w:rsid w:val="007D2113"/>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72C3"/>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D57"/>
    <w:rsid w:val="008113A3"/>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336C"/>
    <w:rsid w:val="008345AE"/>
    <w:rsid w:val="00834C61"/>
    <w:rsid w:val="0083685F"/>
    <w:rsid w:val="00836984"/>
    <w:rsid w:val="00836ABF"/>
    <w:rsid w:val="00837339"/>
    <w:rsid w:val="0083744D"/>
    <w:rsid w:val="008411B9"/>
    <w:rsid w:val="0084188F"/>
    <w:rsid w:val="00841D94"/>
    <w:rsid w:val="008440A7"/>
    <w:rsid w:val="00844A23"/>
    <w:rsid w:val="00844E25"/>
    <w:rsid w:val="00845A36"/>
    <w:rsid w:val="00846DDF"/>
    <w:rsid w:val="00847A5C"/>
    <w:rsid w:val="00847AA7"/>
    <w:rsid w:val="008517E1"/>
    <w:rsid w:val="00851BCB"/>
    <w:rsid w:val="00854F38"/>
    <w:rsid w:val="00855EEF"/>
    <w:rsid w:val="00856E77"/>
    <w:rsid w:val="00856FB0"/>
    <w:rsid w:val="00857659"/>
    <w:rsid w:val="00860504"/>
    <w:rsid w:val="00860F41"/>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1ECF"/>
    <w:rsid w:val="0087211E"/>
    <w:rsid w:val="00872840"/>
    <w:rsid w:val="00872E89"/>
    <w:rsid w:val="00873399"/>
    <w:rsid w:val="008741BC"/>
    <w:rsid w:val="00874A56"/>
    <w:rsid w:val="00874B54"/>
    <w:rsid w:val="00875CF8"/>
    <w:rsid w:val="00877459"/>
    <w:rsid w:val="00880776"/>
    <w:rsid w:val="008809F1"/>
    <w:rsid w:val="00880B6F"/>
    <w:rsid w:val="00880D53"/>
    <w:rsid w:val="008812D4"/>
    <w:rsid w:val="008814B9"/>
    <w:rsid w:val="00881C8C"/>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A7BF9"/>
    <w:rsid w:val="008B19E5"/>
    <w:rsid w:val="008B2F7C"/>
    <w:rsid w:val="008B2FB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2979"/>
    <w:rsid w:val="008E3ACC"/>
    <w:rsid w:val="008E3D20"/>
    <w:rsid w:val="008E4174"/>
    <w:rsid w:val="008E45C0"/>
    <w:rsid w:val="008E4984"/>
    <w:rsid w:val="008E517D"/>
    <w:rsid w:val="008E6DF6"/>
    <w:rsid w:val="008E7C61"/>
    <w:rsid w:val="008E7E06"/>
    <w:rsid w:val="008F0A57"/>
    <w:rsid w:val="008F0C24"/>
    <w:rsid w:val="008F0DB6"/>
    <w:rsid w:val="008F132A"/>
    <w:rsid w:val="008F2129"/>
    <w:rsid w:val="008F2281"/>
    <w:rsid w:val="008F24FD"/>
    <w:rsid w:val="008F2FE7"/>
    <w:rsid w:val="008F3967"/>
    <w:rsid w:val="008F409E"/>
    <w:rsid w:val="008F4D19"/>
    <w:rsid w:val="008F5514"/>
    <w:rsid w:val="00900237"/>
    <w:rsid w:val="0090068E"/>
    <w:rsid w:val="00900A45"/>
    <w:rsid w:val="00900D2C"/>
    <w:rsid w:val="009030AC"/>
    <w:rsid w:val="00904685"/>
    <w:rsid w:val="00904DB5"/>
    <w:rsid w:val="009059FB"/>
    <w:rsid w:val="009060D6"/>
    <w:rsid w:val="00906F95"/>
    <w:rsid w:val="00907DC8"/>
    <w:rsid w:val="009104EE"/>
    <w:rsid w:val="00910677"/>
    <w:rsid w:val="0091129F"/>
    <w:rsid w:val="00911396"/>
    <w:rsid w:val="009113B9"/>
    <w:rsid w:val="00912103"/>
    <w:rsid w:val="00912C1C"/>
    <w:rsid w:val="0091347F"/>
    <w:rsid w:val="00913E26"/>
    <w:rsid w:val="00913FAC"/>
    <w:rsid w:val="009145C7"/>
    <w:rsid w:val="00916232"/>
    <w:rsid w:val="00916CDA"/>
    <w:rsid w:val="00917064"/>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6614"/>
    <w:rsid w:val="0092728B"/>
    <w:rsid w:val="00927E8A"/>
    <w:rsid w:val="00931269"/>
    <w:rsid w:val="0093236F"/>
    <w:rsid w:val="0093242B"/>
    <w:rsid w:val="00932AEA"/>
    <w:rsid w:val="00932BC5"/>
    <w:rsid w:val="009351D5"/>
    <w:rsid w:val="00936015"/>
    <w:rsid w:val="009361F9"/>
    <w:rsid w:val="00936481"/>
    <w:rsid w:val="00936660"/>
    <w:rsid w:val="009369D2"/>
    <w:rsid w:val="00937BF1"/>
    <w:rsid w:val="00937C46"/>
    <w:rsid w:val="00937F0E"/>
    <w:rsid w:val="0094043C"/>
    <w:rsid w:val="009409A9"/>
    <w:rsid w:val="00941C19"/>
    <w:rsid w:val="00941CA0"/>
    <w:rsid w:val="00941D3A"/>
    <w:rsid w:val="00942712"/>
    <w:rsid w:val="00942908"/>
    <w:rsid w:val="009434F9"/>
    <w:rsid w:val="00943C51"/>
    <w:rsid w:val="00943F97"/>
    <w:rsid w:val="0094420B"/>
    <w:rsid w:val="0094520F"/>
    <w:rsid w:val="009458DE"/>
    <w:rsid w:val="00945A79"/>
    <w:rsid w:val="0094606E"/>
    <w:rsid w:val="0094694F"/>
    <w:rsid w:val="00946ADA"/>
    <w:rsid w:val="009475EB"/>
    <w:rsid w:val="009507B6"/>
    <w:rsid w:val="00950C33"/>
    <w:rsid w:val="00950EF8"/>
    <w:rsid w:val="00951405"/>
    <w:rsid w:val="00951444"/>
    <w:rsid w:val="00951A5F"/>
    <w:rsid w:val="00952014"/>
    <w:rsid w:val="00952F0E"/>
    <w:rsid w:val="0095743E"/>
    <w:rsid w:val="00957E56"/>
    <w:rsid w:val="009619C4"/>
    <w:rsid w:val="00961D6A"/>
    <w:rsid w:val="009623A6"/>
    <w:rsid w:val="00962C60"/>
    <w:rsid w:val="00963176"/>
    <w:rsid w:val="00963D1F"/>
    <w:rsid w:val="00963F4E"/>
    <w:rsid w:val="00964308"/>
    <w:rsid w:val="00964587"/>
    <w:rsid w:val="00964B1D"/>
    <w:rsid w:val="00965F1F"/>
    <w:rsid w:val="00966430"/>
    <w:rsid w:val="009700FD"/>
    <w:rsid w:val="009705CC"/>
    <w:rsid w:val="00970975"/>
    <w:rsid w:val="0097118E"/>
    <w:rsid w:val="009711E2"/>
    <w:rsid w:val="009734A6"/>
    <w:rsid w:val="009749A8"/>
    <w:rsid w:val="00976970"/>
    <w:rsid w:val="00976D4F"/>
    <w:rsid w:val="0097756B"/>
    <w:rsid w:val="009779A0"/>
    <w:rsid w:val="0098034C"/>
    <w:rsid w:val="0098546C"/>
    <w:rsid w:val="0098630E"/>
    <w:rsid w:val="00986A5E"/>
    <w:rsid w:val="00986B9F"/>
    <w:rsid w:val="00987920"/>
    <w:rsid w:val="00987D24"/>
    <w:rsid w:val="00987F19"/>
    <w:rsid w:val="00990218"/>
    <w:rsid w:val="00990549"/>
    <w:rsid w:val="009927B8"/>
    <w:rsid w:val="00993B07"/>
    <w:rsid w:val="009948E1"/>
    <w:rsid w:val="00994C26"/>
    <w:rsid w:val="0099587C"/>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3549"/>
    <w:rsid w:val="009B377F"/>
    <w:rsid w:val="009B38A8"/>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56AA"/>
    <w:rsid w:val="009C6D7D"/>
    <w:rsid w:val="009C7248"/>
    <w:rsid w:val="009D0724"/>
    <w:rsid w:val="009D17F6"/>
    <w:rsid w:val="009D189D"/>
    <w:rsid w:val="009D31F2"/>
    <w:rsid w:val="009D3EA1"/>
    <w:rsid w:val="009D3F9A"/>
    <w:rsid w:val="009D4AD4"/>
    <w:rsid w:val="009D563B"/>
    <w:rsid w:val="009D6D9C"/>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541"/>
    <w:rsid w:val="009F6EDF"/>
    <w:rsid w:val="009F7A58"/>
    <w:rsid w:val="00A00805"/>
    <w:rsid w:val="00A00C54"/>
    <w:rsid w:val="00A010DA"/>
    <w:rsid w:val="00A01289"/>
    <w:rsid w:val="00A0258F"/>
    <w:rsid w:val="00A03E08"/>
    <w:rsid w:val="00A041A9"/>
    <w:rsid w:val="00A067A7"/>
    <w:rsid w:val="00A07085"/>
    <w:rsid w:val="00A07F09"/>
    <w:rsid w:val="00A10416"/>
    <w:rsid w:val="00A1092C"/>
    <w:rsid w:val="00A10A53"/>
    <w:rsid w:val="00A11528"/>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9B8"/>
    <w:rsid w:val="00A26CD8"/>
    <w:rsid w:val="00A31FEE"/>
    <w:rsid w:val="00A32194"/>
    <w:rsid w:val="00A321DD"/>
    <w:rsid w:val="00A32665"/>
    <w:rsid w:val="00A32709"/>
    <w:rsid w:val="00A330AB"/>
    <w:rsid w:val="00A334AB"/>
    <w:rsid w:val="00A33CF4"/>
    <w:rsid w:val="00A34F6C"/>
    <w:rsid w:val="00A36700"/>
    <w:rsid w:val="00A37803"/>
    <w:rsid w:val="00A37976"/>
    <w:rsid w:val="00A40107"/>
    <w:rsid w:val="00A402FD"/>
    <w:rsid w:val="00A41396"/>
    <w:rsid w:val="00A41D73"/>
    <w:rsid w:val="00A42B2E"/>
    <w:rsid w:val="00A430A8"/>
    <w:rsid w:val="00A43965"/>
    <w:rsid w:val="00A43A8F"/>
    <w:rsid w:val="00A43B37"/>
    <w:rsid w:val="00A4515C"/>
    <w:rsid w:val="00A452C8"/>
    <w:rsid w:val="00A46AF1"/>
    <w:rsid w:val="00A47C68"/>
    <w:rsid w:val="00A47EA0"/>
    <w:rsid w:val="00A505FF"/>
    <w:rsid w:val="00A5064F"/>
    <w:rsid w:val="00A50D19"/>
    <w:rsid w:val="00A5126B"/>
    <w:rsid w:val="00A5294F"/>
    <w:rsid w:val="00A52D5C"/>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0917"/>
    <w:rsid w:val="00A813C4"/>
    <w:rsid w:val="00A82521"/>
    <w:rsid w:val="00A82ABE"/>
    <w:rsid w:val="00A83F81"/>
    <w:rsid w:val="00A86F59"/>
    <w:rsid w:val="00A871A3"/>
    <w:rsid w:val="00A87787"/>
    <w:rsid w:val="00A90431"/>
    <w:rsid w:val="00A91028"/>
    <w:rsid w:val="00A91101"/>
    <w:rsid w:val="00A91276"/>
    <w:rsid w:val="00A917C6"/>
    <w:rsid w:val="00A91CE6"/>
    <w:rsid w:val="00A92C58"/>
    <w:rsid w:val="00A93505"/>
    <w:rsid w:val="00A9386A"/>
    <w:rsid w:val="00A945A8"/>
    <w:rsid w:val="00A94BDF"/>
    <w:rsid w:val="00A95347"/>
    <w:rsid w:val="00A956EB"/>
    <w:rsid w:val="00A95FC3"/>
    <w:rsid w:val="00A97343"/>
    <w:rsid w:val="00AA0970"/>
    <w:rsid w:val="00AA0D55"/>
    <w:rsid w:val="00AA1538"/>
    <w:rsid w:val="00AA1570"/>
    <w:rsid w:val="00AA1852"/>
    <w:rsid w:val="00AA455F"/>
    <w:rsid w:val="00AA53E5"/>
    <w:rsid w:val="00AA5832"/>
    <w:rsid w:val="00AA591B"/>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3D23"/>
    <w:rsid w:val="00AC70EA"/>
    <w:rsid w:val="00AC76D9"/>
    <w:rsid w:val="00AC77A9"/>
    <w:rsid w:val="00AC7E8C"/>
    <w:rsid w:val="00AD2D89"/>
    <w:rsid w:val="00AD43DC"/>
    <w:rsid w:val="00AD4A02"/>
    <w:rsid w:val="00AD7C95"/>
    <w:rsid w:val="00AE002C"/>
    <w:rsid w:val="00AE0EAD"/>
    <w:rsid w:val="00AE29F7"/>
    <w:rsid w:val="00AE2A2D"/>
    <w:rsid w:val="00AE4236"/>
    <w:rsid w:val="00AE480C"/>
    <w:rsid w:val="00AE51B0"/>
    <w:rsid w:val="00AE591A"/>
    <w:rsid w:val="00AE7F3B"/>
    <w:rsid w:val="00AE7F6E"/>
    <w:rsid w:val="00AF0E64"/>
    <w:rsid w:val="00AF259B"/>
    <w:rsid w:val="00AF2F7E"/>
    <w:rsid w:val="00AF3225"/>
    <w:rsid w:val="00AF3B7B"/>
    <w:rsid w:val="00AF3D5A"/>
    <w:rsid w:val="00AF41AB"/>
    <w:rsid w:val="00AF712B"/>
    <w:rsid w:val="00AF7640"/>
    <w:rsid w:val="00B00F66"/>
    <w:rsid w:val="00B01547"/>
    <w:rsid w:val="00B01889"/>
    <w:rsid w:val="00B02A96"/>
    <w:rsid w:val="00B02B08"/>
    <w:rsid w:val="00B0348F"/>
    <w:rsid w:val="00B0391F"/>
    <w:rsid w:val="00B03D9C"/>
    <w:rsid w:val="00B05418"/>
    <w:rsid w:val="00B059BD"/>
    <w:rsid w:val="00B05B69"/>
    <w:rsid w:val="00B05E52"/>
    <w:rsid w:val="00B0606D"/>
    <w:rsid w:val="00B06E1F"/>
    <w:rsid w:val="00B078EC"/>
    <w:rsid w:val="00B104BA"/>
    <w:rsid w:val="00B10CAB"/>
    <w:rsid w:val="00B10FFA"/>
    <w:rsid w:val="00B11671"/>
    <w:rsid w:val="00B1182E"/>
    <w:rsid w:val="00B11C79"/>
    <w:rsid w:val="00B123C0"/>
    <w:rsid w:val="00B12FCA"/>
    <w:rsid w:val="00B1303E"/>
    <w:rsid w:val="00B133E8"/>
    <w:rsid w:val="00B13474"/>
    <w:rsid w:val="00B15D1F"/>
    <w:rsid w:val="00B16A62"/>
    <w:rsid w:val="00B16BA1"/>
    <w:rsid w:val="00B16E87"/>
    <w:rsid w:val="00B17D73"/>
    <w:rsid w:val="00B200C2"/>
    <w:rsid w:val="00B20C71"/>
    <w:rsid w:val="00B20D0D"/>
    <w:rsid w:val="00B20FC6"/>
    <w:rsid w:val="00B21810"/>
    <w:rsid w:val="00B21927"/>
    <w:rsid w:val="00B21948"/>
    <w:rsid w:val="00B22623"/>
    <w:rsid w:val="00B23BEE"/>
    <w:rsid w:val="00B24404"/>
    <w:rsid w:val="00B24C34"/>
    <w:rsid w:val="00B255E5"/>
    <w:rsid w:val="00B25CBA"/>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BF0"/>
    <w:rsid w:val="00B41CA9"/>
    <w:rsid w:val="00B4265E"/>
    <w:rsid w:val="00B42C82"/>
    <w:rsid w:val="00B42CF6"/>
    <w:rsid w:val="00B42E13"/>
    <w:rsid w:val="00B42FA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3938"/>
    <w:rsid w:val="00B74EDD"/>
    <w:rsid w:val="00B75359"/>
    <w:rsid w:val="00B75411"/>
    <w:rsid w:val="00B756D9"/>
    <w:rsid w:val="00B7597F"/>
    <w:rsid w:val="00B762E9"/>
    <w:rsid w:val="00B764D8"/>
    <w:rsid w:val="00B80490"/>
    <w:rsid w:val="00B80578"/>
    <w:rsid w:val="00B81E2B"/>
    <w:rsid w:val="00B82E1E"/>
    <w:rsid w:val="00B82E81"/>
    <w:rsid w:val="00B82F92"/>
    <w:rsid w:val="00B8379F"/>
    <w:rsid w:val="00B84E07"/>
    <w:rsid w:val="00B86834"/>
    <w:rsid w:val="00B86897"/>
    <w:rsid w:val="00B91541"/>
    <w:rsid w:val="00B91B6A"/>
    <w:rsid w:val="00B92219"/>
    <w:rsid w:val="00B9399D"/>
    <w:rsid w:val="00B9461E"/>
    <w:rsid w:val="00B94DAE"/>
    <w:rsid w:val="00B950F1"/>
    <w:rsid w:val="00B978C6"/>
    <w:rsid w:val="00BA0D07"/>
    <w:rsid w:val="00BA11F0"/>
    <w:rsid w:val="00BA13A3"/>
    <w:rsid w:val="00BA1C0F"/>
    <w:rsid w:val="00BA2364"/>
    <w:rsid w:val="00BA2827"/>
    <w:rsid w:val="00BA3761"/>
    <w:rsid w:val="00BA477D"/>
    <w:rsid w:val="00BA4E90"/>
    <w:rsid w:val="00BA54D0"/>
    <w:rsid w:val="00BA5B76"/>
    <w:rsid w:val="00BA6C68"/>
    <w:rsid w:val="00BA7161"/>
    <w:rsid w:val="00BA7BD4"/>
    <w:rsid w:val="00BB0066"/>
    <w:rsid w:val="00BB1568"/>
    <w:rsid w:val="00BB1B4F"/>
    <w:rsid w:val="00BB2910"/>
    <w:rsid w:val="00BB3016"/>
    <w:rsid w:val="00BB3521"/>
    <w:rsid w:val="00BB368C"/>
    <w:rsid w:val="00BB39B5"/>
    <w:rsid w:val="00BB4376"/>
    <w:rsid w:val="00BB6B7A"/>
    <w:rsid w:val="00BB74CD"/>
    <w:rsid w:val="00BB7985"/>
    <w:rsid w:val="00BC10B1"/>
    <w:rsid w:val="00BC14C3"/>
    <w:rsid w:val="00BC156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77A"/>
    <w:rsid w:val="00BD0BF3"/>
    <w:rsid w:val="00BD0E05"/>
    <w:rsid w:val="00BD19B5"/>
    <w:rsid w:val="00BD19FE"/>
    <w:rsid w:val="00BD1D9C"/>
    <w:rsid w:val="00BD21BC"/>
    <w:rsid w:val="00BD237C"/>
    <w:rsid w:val="00BD3EA2"/>
    <w:rsid w:val="00BD418B"/>
    <w:rsid w:val="00BD48C2"/>
    <w:rsid w:val="00BD4FD5"/>
    <w:rsid w:val="00BD5403"/>
    <w:rsid w:val="00BD5457"/>
    <w:rsid w:val="00BD603C"/>
    <w:rsid w:val="00BD649E"/>
    <w:rsid w:val="00BD6669"/>
    <w:rsid w:val="00BD685D"/>
    <w:rsid w:val="00BD6ADD"/>
    <w:rsid w:val="00BD725C"/>
    <w:rsid w:val="00BD74CB"/>
    <w:rsid w:val="00BD7E2C"/>
    <w:rsid w:val="00BE26FE"/>
    <w:rsid w:val="00BE27FF"/>
    <w:rsid w:val="00BE34A0"/>
    <w:rsid w:val="00BE35B5"/>
    <w:rsid w:val="00BE3FF1"/>
    <w:rsid w:val="00BE42A2"/>
    <w:rsid w:val="00BE52AB"/>
    <w:rsid w:val="00BE583C"/>
    <w:rsid w:val="00BE5A19"/>
    <w:rsid w:val="00BE62E3"/>
    <w:rsid w:val="00BE7448"/>
    <w:rsid w:val="00BF0A08"/>
    <w:rsid w:val="00BF13D0"/>
    <w:rsid w:val="00BF1B56"/>
    <w:rsid w:val="00BF1B7F"/>
    <w:rsid w:val="00BF30DA"/>
    <w:rsid w:val="00BF3234"/>
    <w:rsid w:val="00BF408A"/>
    <w:rsid w:val="00BF45E6"/>
    <w:rsid w:val="00BF48D5"/>
    <w:rsid w:val="00BF55AE"/>
    <w:rsid w:val="00BF5791"/>
    <w:rsid w:val="00BF637F"/>
    <w:rsid w:val="00BF7735"/>
    <w:rsid w:val="00BF7DEE"/>
    <w:rsid w:val="00C00530"/>
    <w:rsid w:val="00C0141F"/>
    <w:rsid w:val="00C02844"/>
    <w:rsid w:val="00C04543"/>
    <w:rsid w:val="00C04FCF"/>
    <w:rsid w:val="00C05A4D"/>
    <w:rsid w:val="00C06B72"/>
    <w:rsid w:val="00C06C6D"/>
    <w:rsid w:val="00C07C15"/>
    <w:rsid w:val="00C1036B"/>
    <w:rsid w:val="00C10807"/>
    <w:rsid w:val="00C108F7"/>
    <w:rsid w:val="00C1178C"/>
    <w:rsid w:val="00C1292D"/>
    <w:rsid w:val="00C136DA"/>
    <w:rsid w:val="00C139AF"/>
    <w:rsid w:val="00C151B5"/>
    <w:rsid w:val="00C154B0"/>
    <w:rsid w:val="00C1622F"/>
    <w:rsid w:val="00C1671F"/>
    <w:rsid w:val="00C2030F"/>
    <w:rsid w:val="00C20F68"/>
    <w:rsid w:val="00C2130B"/>
    <w:rsid w:val="00C21572"/>
    <w:rsid w:val="00C215CE"/>
    <w:rsid w:val="00C21BCC"/>
    <w:rsid w:val="00C22D7A"/>
    <w:rsid w:val="00C23189"/>
    <w:rsid w:val="00C2374A"/>
    <w:rsid w:val="00C251B9"/>
    <w:rsid w:val="00C25236"/>
    <w:rsid w:val="00C254D4"/>
    <w:rsid w:val="00C2598B"/>
    <w:rsid w:val="00C264AE"/>
    <w:rsid w:val="00C2677F"/>
    <w:rsid w:val="00C271CB"/>
    <w:rsid w:val="00C27207"/>
    <w:rsid w:val="00C274A5"/>
    <w:rsid w:val="00C27869"/>
    <w:rsid w:val="00C27CAF"/>
    <w:rsid w:val="00C31E7E"/>
    <w:rsid w:val="00C32292"/>
    <w:rsid w:val="00C329D6"/>
    <w:rsid w:val="00C32BEC"/>
    <w:rsid w:val="00C32D1F"/>
    <w:rsid w:val="00C32E00"/>
    <w:rsid w:val="00C338B2"/>
    <w:rsid w:val="00C35FF3"/>
    <w:rsid w:val="00C365DB"/>
    <w:rsid w:val="00C403F8"/>
    <w:rsid w:val="00C40AF0"/>
    <w:rsid w:val="00C40D77"/>
    <w:rsid w:val="00C42572"/>
    <w:rsid w:val="00C4362F"/>
    <w:rsid w:val="00C43835"/>
    <w:rsid w:val="00C44055"/>
    <w:rsid w:val="00C44AEE"/>
    <w:rsid w:val="00C451C3"/>
    <w:rsid w:val="00C46124"/>
    <w:rsid w:val="00C46ABE"/>
    <w:rsid w:val="00C47150"/>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4E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0137"/>
    <w:rsid w:val="00C7237D"/>
    <w:rsid w:val="00C72AC1"/>
    <w:rsid w:val="00C72B6F"/>
    <w:rsid w:val="00C731D3"/>
    <w:rsid w:val="00C75CBB"/>
    <w:rsid w:val="00C76103"/>
    <w:rsid w:val="00C76944"/>
    <w:rsid w:val="00C76A41"/>
    <w:rsid w:val="00C76D1D"/>
    <w:rsid w:val="00C77172"/>
    <w:rsid w:val="00C77FFA"/>
    <w:rsid w:val="00C80606"/>
    <w:rsid w:val="00C80A95"/>
    <w:rsid w:val="00C80F51"/>
    <w:rsid w:val="00C82C07"/>
    <w:rsid w:val="00C82F5B"/>
    <w:rsid w:val="00C830B7"/>
    <w:rsid w:val="00C83C20"/>
    <w:rsid w:val="00C83EE9"/>
    <w:rsid w:val="00C83F7B"/>
    <w:rsid w:val="00C841B2"/>
    <w:rsid w:val="00C85490"/>
    <w:rsid w:val="00C860A1"/>
    <w:rsid w:val="00C866AD"/>
    <w:rsid w:val="00C90FA5"/>
    <w:rsid w:val="00C9143B"/>
    <w:rsid w:val="00C91AC8"/>
    <w:rsid w:val="00C91EE1"/>
    <w:rsid w:val="00C92779"/>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A646D"/>
    <w:rsid w:val="00CB0372"/>
    <w:rsid w:val="00CB0697"/>
    <w:rsid w:val="00CB3AC5"/>
    <w:rsid w:val="00CB4762"/>
    <w:rsid w:val="00CB72DD"/>
    <w:rsid w:val="00CB7C76"/>
    <w:rsid w:val="00CC0B72"/>
    <w:rsid w:val="00CC16D1"/>
    <w:rsid w:val="00CC1987"/>
    <w:rsid w:val="00CC1C17"/>
    <w:rsid w:val="00CC218C"/>
    <w:rsid w:val="00CC3A65"/>
    <w:rsid w:val="00CC3A8B"/>
    <w:rsid w:val="00CC5EEF"/>
    <w:rsid w:val="00CC5FEC"/>
    <w:rsid w:val="00CC6262"/>
    <w:rsid w:val="00CC6F27"/>
    <w:rsid w:val="00CD0C86"/>
    <w:rsid w:val="00CD10D7"/>
    <w:rsid w:val="00CD2E92"/>
    <w:rsid w:val="00CD2FDC"/>
    <w:rsid w:val="00CD31DF"/>
    <w:rsid w:val="00CD33AF"/>
    <w:rsid w:val="00CD49A0"/>
    <w:rsid w:val="00CD4CC6"/>
    <w:rsid w:val="00CD53F7"/>
    <w:rsid w:val="00CD5D76"/>
    <w:rsid w:val="00CD5E27"/>
    <w:rsid w:val="00CD7D5F"/>
    <w:rsid w:val="00CD7F35"/>
    <w:rsid w:val="00CE032A"/>
    <w:rsid w:val="00CE0BC2"/>
    <w:rsid w:val="00CE1478"/>
    <w:rsid w:val="00CE1EB6"/>
    <w:rsid w:val="00CE2D12"/>
    <w:rsid w:val="00CE2DE6"/>
    <w:rsid w:val="00CE3A39"/>
    <w:rsid w:val="00CE3CF9"/>
    <w:rsid w:val="00CE419E"/>
    <w:rsid w:val="00CE42C7"/>
    <w:rsid w:val="00CE50F7"/>
    <w:rsid w:val="00CE76DE"/>
    <w:rsid w:val="00CF0985"/>
    <w:rsid w:val="00CF10E8"/>
    <w:rsid w:val="00CF138D"/>
    <w:rsid w:val="00CF406D"/>
    <w:rsid w:val="00CF5C38"/>
    <w:rsid w:val="00CF693D"/>
    <w:rsid w:val="00CF6EA4"/>
    <w:rsid w:val="00CF7A89"/>
    <w:rsid w:val="00D00178"/>
    <w:rsid w:val="00D00682"/>
    <w:rsid w:val="00D027C4"/>
    <w:rsid w:val="00D03E61"/>
    <w:rsid w:val="00D04275"/>
    <w:rsid w:val="00D045A2"/>
    <w:rsid w:val="00D05304"/>
    <w:rsid w:val="00D0752F"/>
    <w:rsid w:val="00D075B0"/>
    <w:rsid w:val="00D07784"/>
    <w:rsid w:val="00D07E43"/>
    <w:rsid w:val="00D102BF"/>
    <w:rsid w:val="00D10DAA"/>
    <w:rsid w:val="00D1130E"/>
    <w:rsid w:val="00D12234"/>
    <w:rsid w:val="00D1244C"/>
    <w:rsid w:val="00D1289F"/>
    <w:rsid w:val="00D138FB"/>
    <w:rsid w:val="00D13E68"/>
    <w:rsid w:val="00D14857"/>
    <w:rsid w:val="00D15371"/>
    <w:rsid w:val="00D15415"/>
    <w:rsid w:val="00D15FDF"/>
    <w:rsid w:val="00D16EE3"/>
    <w:rsid w:val="00D17873"/>
    <w:rsid w:val="00D207F1"/>
    <w:rsid w:val="00D207FE"/>
    <w:rsid w:val="00D20F04"/>
    <w:rsid w:val="00D22A9C"/>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574"/>
    <w:rsid w:val="00D4376B"/>
    <w:rsid w:val="00D439C6"/>
    <w:rsid w:val="00D45E82"/>
    <w:rsid w:val="00D4600C"/>
    <w:rsid w:val="00D46392"/>
    <w:rsid w:val="00D4739B"/>
    <w:rsid w:val="00D47ECA"/>
    <w:rsid w:val="00D5046B"/>
    <w:rsid w:val="00D50EC0"/>
    <w:rsid w:val="00D50FC3"/>
    <w:rsid w:val="00D518B7"/>
    <w:rsid w:val="00D526D1"/>
    <w:rsid w:val="00D5314D"/>
    <w:rsid w:val="00D53893"/>
    <w:rsid w:val="00D54324"/>
    <w:rsid w:val="00D5441B"/>
    <w:rsid w:val="00D548D6"/>
    <w:rsid w:val="00D56098"/>
    <w:rsid w:val="00D56282"/>
    <w:rsid w:val="00D5682F"/>
    <w:rsid w:val="00D57B31"/>
    <w:rsid w:val="00D6054C"/>
    <w:rsid w:val="00D61C0B"/>
    <w:rsid w:val="00D63123"/>
    <w:rsid w:val="00D63D5A"/>
    <w:rsid w:val="00D647F8"/>
    <w:rsid w:val="00D651BE"/>
    <w:rsid w:val="00D65723"/>
    <w:rsid w:val="00D65E01"/>
    <w:rsid w:val="00D66A83"/>
    <w:rsid w:val="00D67318"/>
    <w:rsid w:val="00D6753C"/>
    <w:rsid w:val="00D71D98"/>
    <w:rsid w:val="00D7289E"/>
    <w:rsid w:val="00D74696"/>
    <w:rsid w:val="00D74C26"/>
    <w:rsid w:val="00D7527C"/>
    <w:rsid w:val="00D7594C"/>
    <w:rsid w:val="00D7620A"/>
    <w:rsid w:val="00D80458"/>
    <w:rsid w:val="00D80B40"/>
    <w:rsid w:val="00D81065"/>
    <w:rsid w:val="00D814D8"/>
    <w:rsid w:val="00D818B0"/>
    <w:rsid w:val="00D82507"/>
    <w:rsid w:val="00D85499"/>
    <w:rsid w:val="00D86715"/>
    <w:rsid w:val="00D87222"/>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170"/>
    <w:rsid w:val="00DA5704"/>
    <w:rsid w:val="00DA626A"/>
    <w:rsid w:val="00DA713C"/>
    <w:rsid w:val="00DA7D1C"/>
    <w:rsid w:val="00DB030D"/>
    <w:rsid w:val="00DB2D27"/>
    <w:rsid w:val="00DB2E50"/>
    <w:rsid w:val="00DB301B"/>
    <w:rsid w:val="00DB364B"/>
    <w:rsid w:val="00DB4EF0"/>
    <w:rsid w:val="00DB5064"/>
    <w:rsid w:val="00DB59C7"/>
    <w:rsid w:val="00DB6238"/>
    <w:rsid w:val="00DB62F7"/>
    <w:rsid w:val="00DB7540"/>
    <w:rsid w:val="00DC0767"/>
    <w:rsid w:val="00DC0F67"/>
    <w:rsid w:val="00DC1171"/>
    <w:rsid w:val="00DC3EC3"/>
    <w:rsid w:val="00DC41DC"/>
    <w:rsid w:val="00DC4F7A"/>
    <w:rsid w:val="00DC5465"/>
    <w:rsid w:val="00DC6888"/>
    <w:rsid w:val="00DC6EC7"/>
    <w:rsid w:val="00DC7553"/>
    <w:rsid w:val="00DD0097"/>
    <w:rsid w:val="00DD1560"/>
    <w:rsid w:val="00DD1723"/>
    <w:rsid w:val="00DD1A43"/>
    <w:rsid w:val="00DD2156"/>
    <w:rsid w:val="00DD2460"/>
    <w:rsid w:val="00DD3391"/>
    <w:rsid w:val="00DD406A"/>
    <w:rsid w:val="00DD48B3"/>
    <w:rsid w:val="00DD50AE"/>
    <w:rsid w:val="00DD5381"/>
    <w:rsid w:val="00DD53F7"/>
    <w:rsid w:val="00DD66B3"/>
    <w:rsid w:val="00DD7015"/>
    <w:rsid w:val="00DD7B80"/>
    <w:rsid w:val="00DD7DFA"/>
    <w:rsid w:val="00DE0C90"/>
    <w:rsid w:val="00DE0DA6"/>
    <w:rsid w:val="00DE2BD4"/>
    <w:rsid w:val="00DE32CE"/>
    <w:rsid w:val="00DE35EB"/>
    <w:rsid w:val="00DE3C38"/>
    <w:rsid w:val="00DE5215"/>
    <w:rsid w:val="00DE7A9D"/>
    <w:rsid w:val="00DF0916"/>
    <w:rsid w:val="00DF098F"/>
    <w:rsid w:val="00DF2D5F"/>
    <w:rsid w:val="00DF438D"/>
    <w:rsid w:val="00DF514B"/>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207"/>
    <w:rsid w:val="00E179D0"/>
    <w:rsid w:val="00E17AD2"/>
    <w:rsid w:val="00E17EE4"/>
    <w:rsid w:val="00E208EA"/>
    <w:rsid w:val="00E20963"/>
    <w:rsid w:val="00E20EBB"/>
    <w:rsid w:val="00E21EED"/>
    <w:rsid w:val="00E2289B"/>
    <w:rsid w:val="00E2295F"/>
    <w:rsid w:val="00E23010"/>
    <w:rsid w:val="00E237E1"/>
    <w:rsid w:val="00E239D3"/>
    <w:rsid w:val="00E23B60"/>
    <w:rsid w:val="00E23C45"/>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315"/>
    <w:rsid w:val="00E51A58"/>
    <w:rsid w:val="00E53E96"/>
    <w:rsid w:val="00E57641"/>
    <w:rsid w:val="00E578CA"/>
    <w:rsid w:val="00E57E02"/>
    <w:rsid w:val="00E612CB"/>
    <w:rsid w:val="00E61D9F"/>
    <w:rsid w:val="00E61FA2"/>
    <w:rsid w:val="00E629CA"/>
    <w:rsid w:val="00E6327B"/>
    <w:rsid w:val="00E63387"/>
    <w:rsid w:val="00E63441"/>
    <w:rsid w:val="00E64566"/>
    <w:rsid w:val="00E64990"/>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6FE1"/>
    <w:rsid w:val="00E773AE"/>
    <w:rsid w:val="00E80B38"/>
    <w:rsid w:val="00E80B7E"/>
    <w:rsid w:val="00E81003"/>
    <w:rsid w:val="00E819ED"/>
    <w:rsid w:val="00E81A76"/>
    <w:rsid w:val="00E81D83"/>
    <w:rsid w:val="00E82023"/>
    <w:rsid w:val="00E820F6"/>
    <w:rsid w:val="00E82F73"/>
    <w:rsid w:val="00E837AD"/>
    <w:rsid w:val="00E8387F"/>
    <w:rsid w:val="00E83C25"/>
    <w:rsid w:val="00E84011"/>
    <w:rsid w:val="00E850E8"/>
    <w:rsid w:val="00E8535D"/>
    <w:rsid w:val="00E85AAC"/>
    <w:rsid w:val="00E85AD0"/>
    <w:rsid w:val="00E8721F"/>
    <w:rsid w:val="00E90C20"/>
    <w:rsid w:val="00E91A13"/>
    <w:rsid w:val="00E91FA2"/>
    <w:rsid w:val="00E9350D"/>
    <w:rsid w:val="00E94E72"/>
    <w:rsid w:val="00E95DC3"/>
    <w:rsid w:val="00EA0A04"/>
    <w:rsid w:val="00EA0A10"/>
    <w:rsid w:val="00EA0D42"/>
    <w:rsid w:val="00EA19C9"/>
    <w:rsid w:val="00EA2689"/>
    <w:rsid w:val="00EA2C60"/>
    <w:rsid w:val="00EA3AC9"/>
    <w:rsid w:val="00EA57C6"/>
    <w:rsid w:val="00EA5A2B"/>
    <w:rsid w:val="00EA6134"/>
    <w:rsid w:val="00EA627D"/>
    <w:rsid w:val="00EA7667"/>
    <w:rsid w:val="00EA7D74"/>
    <w:rsid w:val="00EA7E4F"/>
    <w:rsid w:val="00EB1DEC"/>
    <w:rsid w:val="00EB22D4"/>
    <w:rsid w:val="00EB2F1E"/>
    <w:rsid w:val="00EB3B77"/>
    <w:rsid w:val="00EB3C4F"/>
    <w:rsid w:val="00EB4DC1"/>
    <w:rsid w:val="00EB726D"/>
    <w:rsid w:val="00EB786B"/>
    <w:rsid w:val="00EC0B0D"/>
    <w:rsid w:val="00EC0C73"/>
    <w:rsid w:val="00EC1754"/>
    <w:rsid w:val="00EC1F4C"/>
    <w:rsid w:val="00EC395B"/>
    <w:rsid w:val="00EC51CD"/>
    <w:rsid w:val="00EC525E"/>
    <w:rsid w:val="00EC5B90"/>
    <w:rsid w:val="00EC70FB"/>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5D7F"/>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21A8"/>
    <w:rsid w:val="00F0235E"/>
    <w:rsid w:val="00F03BB8"/>
    <w:rsid w:val="00F03DD0"/>
    <w:rsid w:val="00F03F4D"/>
    <w:rsid w:val="00F0407F"/>
    <w:rsid w:val="00F040B2"/>
    <w:rsid w:val="00F04447"/>
    <w:rsid w:val="00F05CFA"/>
    <w:rsid w:val="00F061DF"/>
    <w:rsid w:val="00F06823"/>
    <w:rsid w:val="00F06C51"/>
    <w:rsid w:val="00F1011D"/>
    <w:rsid w:val="00F12428"/>
    <w:rsid w:val="00F12A50"/>
    <w:rsid w:val="00F13DFA"/>
    <w:rsid w:val="00F14685"/>
    <w:rsid w:val="00F159CA"/>
    <w:rsid w:val="00F16FCE"/>
    <w:rsid w:val="00F177B8"/>
    <w:rsid w:val="00F2086F"/>
    <w:rsid w:val="00F2103C"/>
    <w:rsid w:val="00F21981"/>
    <w:rsid w:val="00F228D1"/>
    <w:rsid w:val="00F22B1F"/>
    <w:rsid w:val="00F23B84"/>
    <w:rsid w:val="00F242F2"/>
    <w:rsid w:val="00F24429"/>
    <w:rsid w:val="00F25D82"/>
    <w:rsid w:val="00F2697A"/>
    <w:rsid w:val="00F271AF"/>
    <w:rsid w:val="00F27E2A"/>
    <w:rsid w:val="00F30080"/>
    <w:rsid w:val="00F3019B"/>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4183"/>
    <w:rsid w:val="00F44321"/>
    <w:rsid w:val="00F447E3"/>
    <w:rsid w:val="00F44FF0"/>
    <w:rsid w:val="00F459E5"/>
    <w:rsid w:val="00F463C6"/>
    <w:rsid w:val="00F46E16"/>
    <w:rsid w:val="00F46E9E"/>
    <w:rsid w:val="00F47F8F"/>
    <w:rsid w:val="00F5137F"/>
    <w:rsid w:val="00F51391"/>
    <w:rsid w:val="00F53233"/>
    <w:rsid w:val="00F5532D"/>
    <w:rsid w:val="00F55511"/>
    <w:rsid w:val="00F56308"/>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E90"/>
    <w:rsid w:val="00F7207A"/>
    <w:rsid w:val="00F72106"/>
    <w:rsid w:val="00F7238F"/>
    <w:rsid w:val="00F72D43"/>
    <w:rsid w:val="00F72F38"/>
    <w:rsid w:val="00F73A5E"/>
    <w:rsid w:val="00F73B48"/>
    <w:rsid w:val="00F73CB2"/>
    <w:rsid w:val="00F740D9"/>
    <w:rsid w:val="00F74EF3"/>
    <w:rsid w:val="00F82162"/>
    <w:rsid w:val="00F82EC4"/>
    <w:rsid w:val="00F837BF"/>
    <w:rsid w:val="00F837F5"/>
    <w:rsid w:val="00F85F5B"/>
    <w:rsid w:val="00F863EA"/>
    <w:rsid w:val="00F865AF"/>
    <w:rsid w:val="00F91171"/>
    <w:rsid w:val="00F92BA0"/>
    <w:rsid w:val="00F949FD"/>
    <w:rsid w:val="00F94DCD"/>
    <w:rsid w:val="00F95397"/>
    <w:rsid w:val="00F956E3"/>
    <w:rsid w:val="00F958BD"/>
    <w:rsid w:val="00F95BAC"/>
    <w:rsid w:val="00F95EA2"/>
    <w:rsid w:val="00F96BCB"/>
    <w:rsid w:val="00F972FE"/>
    <w:rsid w:val="00F9769E"/>
    <w:rsid w:val="00FA0190"/>
    <w:rsid w:val="00FA09CA"/>
    <w:rsid w:val="00FA0B26"/>
    <w:rsid w:val="00FA2080"/>
    <w:rsid w:val="00FA36EB"/>
    <w:rsid w:val="00FA3CF7"/>
    <w:rsid w:val="00FA41D1"/>
    <w:rsid w:val="00FA4BF7"/>
    <w:rsid w:val="00FA5DB0"/>
    <w:rsid w:val="00FA71CB"/>
    <w:rsid w:val="00FA755B"/>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64A8"/>
    <w:rsid w:val="00FD64B2"/>
    <w:rsid w:val="00FD664B"/>
    <w:rsid w:val="00FD7616"/>
    <w:rsid w:val="00FE02A0"/>
    <w:rsid w:val="00FE04E7"/>
    <w:rsid w:val="00FE0D06"/>
    <w:rsid w:val="00FE15A0"/>
    <w:rsid w:val="00FE17B7"/>
    <w:rsid w:val="00FE1ABE"/>
    <w:rsid w:val="00FE2070"/>
    <w:rsid w:val="00FE32C0"/>
    <w:rsid w:val="00FE3396"/>
    <w:rsid w:val="00FE364B"/>
    <w:rsid w:val="00FE368E"/>
    <w:rsid w:val="00FE36AE"/>
    <w:rsid w:val="00FE4980"/>
    <w:rsid w:val="00FE59E7"/>
    <w:rsid w:val="00FE5C4A"/>
    <w:rsid w:val="00FE5CF1"/>
    <w:rsid w:val="00FE6521"/>
    <w:rsid w:val="00FE6A78"/>
    <w:rsid w:val="00FE6AA9"/>
    <w:rsid w:val="00FE7E43"/>
    <w:rsid w:val="00FF0567"/>
    <w:rsid w:val="00FF148A"/>
    <w:rsid w:val="00FF2390"/>
    <w:rsid w:val="00FF27C8"/>
    <w:rsid w:val="00FF284F"/>
    <w:rsid w:val="00FF318E"/>
    <w:rsid w:val="00FF3E58"/>
    <w:rsid w:val="00FF4323"/>
    <w:rsid w:val="00FF4FC0"/>
    <w:rsid w:val="00FF5236"/>
    <w:rsid w:val="00FF59BB"/>
    <w:rsid w:val="00FF5E72"/>
    <w:rsid w:val="00FF69D0"/>
    <w:rsid w:val="00FF6A81"/>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paragraph" w:customStyle="1" w:styleId="TextBody">
    <w:name w:val="Text Body"/>
    <w:basedOn w:val="Normal"/>
    <w:rsid w:val="00C70137"/>
    <w:pPr>
      <w:keepLines/>
      <w:tabs>
        <w:tab w:val="left" w:pos="2552"/>
        <w:tab w:val="left" w:pos="3856"/>
        <w:tab w:val="left" w:pos="5216"/>
        <w:tab w:val="left" w:pos="6464"/>
        <w:tab w:val="left" w:pos="7768"/>
        <w:tab w:val="left" w:pos="9072"/>
        <w:tab w:val="left" w:pos="9639"/>
      </w:tabs>
      <w:suppressAutoHyphens/>
      <w:overflowPunct/>
      <w:autoSpaceDE/>
      <w:autoSpaceDN/>
      <w:adjustRightInd/>
      <w:spacing w:before="240" w:after="0" w:line="288" w:lineRule="auto"/>
      <w:jc w:val="left"/>
      <w:textAlignment w:val="auto"/>
    </w:pPr>
    <w:rPr>
      <w:color w:val="00000A"/>
      <w:spacing w:val="2"/>
      <w:sz w:val="22"/>
      <w:lang w:val="en-US" w:eastAsia="en-US"/>
    </w:rPr>
  </w:style>
  <w:style w:type="paragraph" w:customStyle="1" w:styleId="PL">
    <w:name w:val="PL"/>
    <w:link w:val="PLChar"/>
    <w:rsid w:val="00C70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C70137"/>
    <w:rPr>
      <w:rFonts w:ascii="Courier New" w:eastAsia="Times New Roman" w:hAnsi="Courier New" w:cs="Times New Roman"/>
      <w:noProof/>
      <w:sz w:val="16"/>
      <w:szCs w:val="20"/>
      <w:lang w:val="en-GB"/>
    </w:rPr>
  </w:style>
  <w:style w:type="paragraph" w:customStyle="1" w:styleId="CRCoverPage">
    <w:name w:val="CR Cover Page"/>
    <w:rsid w:val="0078261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10256444">
      <w:bodyDiv w:val="1"/>
      <w:marLeft w:val="0"/>
      <w:marRight w:val="0"/>
      <w:marTop w:val="0"/>
      <w:marBottom w:val="0"/>
      <w:divBdr>
        <w:top w:val="none" w:sz="0" w:space="0" w:color="auto"/>
        <w:left w:val="none" w:sz="0" w:space="0" w:color="auto"/>
        <w:bottom w:val="none" w:sz="0" w:space="0" w:color="auto"/>
        <w:right w:val="none" w:sz="0" w:space="0" w:color="auto"/>
      </w:divBdr>
      <w:divsChild>
        <w:div w:id="1229926962">
          <w:marLeft w:val="547"/>
          <w:marRight w:val="0"/>
          <w:marTop w:val="0"/>
          <w:marBottom w:val="0"/>
          <w:divBdr>
            <w:top w:val="none" w:sz="0" w:space="0" w:color="auto"/>
            <w:left w:val="none" w:sz="0" w:space="0" w:color="auto"/>
            <w:bottom w:val="none" w:sz="0" w:space="0" w:color="auto"/>
            <w:right w:val="none" w:sz="0" w:space="0" w:color="auto"/>
          </w:divBdr>
        </w:div>
        <w:div w:id="1305964332">
          <w:marLeft w:val="1166"/>
          <w:marRight w:val="0"/>
          <w:marTop w:val="0"/>
          <w:marBottom w:val="0"/>
          <w:divBdr>
            <w:top w:val="none" w:sz="0" w:space="0" w:color="auto"/>
            <w:left w:val="none" w:sz="0" w:space="0" w:color="auto"/>
            <w:bottom w:val="none" w:sz="0" w:space="0" w:color="auto"/>
            <w:right w:val="none" w:sz="0" w:space="0" w:color="auto"/>
          </w:divBdr>
        </w:div>
        <w:div w:id="1612203784">
          <w:marLeft w:val="547"/>
          <w:marRight w:val="0"/>
          <w:marTop w:val="0"/>
          <w:marBottom w:val="0"/>
          <w:divBdr>
            <w:top w:val="none" w:sz="0" w:space="0" w:color="auto"/>
            <w:left w:val="none" w:sz="0" w:space="0" w:color="auto"/>
            <w:bottom w:val="none" w:sz="0" w:space="0" w:color="auto"/>
            <w:right w:val="none" w:sz="0" w:space="0" w:color="auto"/>
          </w:divBdr>
        </w:div>
        <w:div w:id="316693869">
          <w:marLeft w:val="1166"/>
          <w:marRight w:val="0"/>
          <w:marTop w:val="0"/>
          <w:marBottom w:val="0"/>
          <w:divBdr>
            <w:top w:val="none" w:sz="0" w:space="0" w:color="auto"/>
            <w:left w:val="none" w:sz="0" w:space="0" w:color="auto"/>
            <w:bottom w:val="none" w:sz="0" w:space="0" w:color="auto"/>
            <w:right w:val="none" w:sz="0" w:space="0" w:color="auto"/>
          </w:divBdr>
        </w:div>
        <w:div w:id="55857013">
          <w:marLeft w:val="1166"/>
          <w:marRight w:val="0"/>
          <w:marTop w:val="0"/>
          <w:marBottom w:val="0"/>
          <w:divBdr>
            <w:top w:val="none" w:sz="0" w:space="0" w:color="auto"/>
            <w:left w:val="none" w:sz="0" w:space="0" w:color="auto"/>
            <w:bottom w:val="none" w:sz="0" w:space="0" w:color="auto"/>
            <w:right w:val="none" w:sz="0" w:space="0" w:color="auto"/>
          </w:divBdr>
        </w:div>
        <w:div w:id="1111709582">
          <w:marLeft w:val="1166"/>
          <w:marRight w:val="0"/>
          <w:marTop w:val="0"/>
          <w:marBottom w:val="0"/>
          <w:divBdr>
            <w:top w:val="none" w:sz="0" w:space="0" w:color="auto"/>
            <w:left w:val="none" w:sz="0" w:space="0" w:color="auto"/>
            <w:bottom w:val="none" w:sz="0" w:space="0" w:color="auto"/>
            <w:right w:val="none" w:sz="0" w:space="0" w:color="auto"/>
          </w:divBdr>
        </w:div>
        <w:div w:id="968514263">
          <w:marLeft w:val="1166"/>
          <w:marRight w:val="0"/>
          <w:marTop w:val="0"/>
          <w:marBottom w:val="0"/>
          <w:divBdr>
            <w:top w:val="none" w:sz="0" w:space="0" w:color="auto"/>
            <w:left w:val="none" w:sz="0" w:space="0" w:color="auto"/>
            <w:bottom w:val="none" w:sz="0" w:space="0" w:color="auto"/>
            <w:right w:val="none" w:sz="0" w:space="0" w:color="auto"/>
          </w:divBdr>
        </w:div>
        <w:div w:id="658655046">
          <w:marLeft w:val="1166"/>
          <w:marRight w:val="0"/>
          <w:marTop w:val="0"/>
          <w:marBottom w:val="0"/>
          <w:divBdr>
            <w:top w:val="none" w:sz="0" w:space="0" w:color="auto"/>
            <w:left w:val="none" w:sz="0" w:space="0" w:color="auto"/>
            <w:bottom w:val="none" w:sz="0" w:space="0" w:color="auto"/>
            <w:right w:val="none" w:sz="0" w:space="0" w:color="auto"/>
          </w:divBdr>
        </w:div>
        <w:div w:id="833372087">
          <w:marLeft w:val="1166"/>
          <w:marRight w:val="0"/>
          <w:marTop w:val="0"/>
          <w:marBottom w:val="0"/>
          <w:divBdr>
            <w:top w:val="none" w:sz="0" w:space="0" w:color="auto"/>
            <w:left w:val="none" w:sz="0" w:space="0" w:color="auto"/>
            <w:bottom w:val="none" w:sz="0" w:space="0" w:color="auto"/>
            <w:right w:val="none" w:sz="0" w:space="0" w:color="auto"/>
          </w:divBdr>
        </w:div>
        <w:div w:id="456223509">
          <w:marLeft w:val="1166"/>
          <w:marRight w:val="0"/>
          <w:marTop w:val="0"/>
          <w:marBottom w:val="0"/>
          <w:divBdr>
            <w:top w:val="none" w:sz="0" w:space="0" w:color="auto"/>
            <w:left w:val="none" w:sz="0" w:space="0" w:color="auto"/>
            <w:bottom w:val="none" w:sz="0" w:space="0" w:color="auto"/>
            <w:right w:val="none" w:sz="0" w:space="0" w:color="auto"/>
          </w:divBdr>
        </w:div>
        <w:div w:id="597759001">
          <w:marLeft w:val="1166"/>
          <w:marRight w:val="0"/>
          <w:marTop w:val="0"/>
          <w:marBottom w:val="0"/>
          <w:divBdr>
            <w:top w:val="none" w:sz="0" w:space="0" w:color="auto"/>
            <w:left w:val="none" w:sz="0" w:space="0" w:color="auto"/>
            <w:bottom w:val="none" w:sz="0" w:space="0" w:color="auto"/>
            <w:right w:val="none" w:sz="0" w:space="0" w:color="auto"/>
          </w:divBdr>
        </w:div>
        <w:div w:id="2012953462">
          <w:marLeft w:val="547"/>
          <w:marRight w:val="0"/>
          <w:marTop w:val="0"/>
          <w:marBottom w:val="0"/>
          <w:divBdr>
            <w:top w:val="none" w:sz="0" w:space="0" w:color="auto"/>
            <w:left w:val="none" w:sz="0" w:space="0" w:color="auto"/>
            <w:bottom w:val="none" w:sz="0" w:space="0" w:color="auto"/>
            <w:right w:val="none" w:sz="0" w:space="0" w:color="auto"/>
          </w:divBdr>
        </w:div>
        <w:div w:id="665668139">
          <w:marLeft w:val="1166"/>
          <w:marRight w:val="0"/>
          <w:marTop w:val="0"/>
          <w:marBottom w:val="0"/>
          <w:divBdr>
            <w:top w:val="none" w:sz="0" w:space="0" w:color="auto"/>
            <w:left w:val="none" w:sz="0" w:space="0" w:color="auto"/>
            <w:bottom w:val="none" w:sz="0" w:space="0" w:color="auto"/>
            <w:right w:val="none" w:sz="0" w:space="0" w:color="auto"/>
          </w:divBdr>
        </w:div>
      </w:divsChild>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08384-EDB9-441B-8D6E-944F9FFD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6</Pages>
  <Words>2460</Words>
  <Characters>13039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Johan Bergman</cp:lastModifiedBy>
  <cp:revision>322</cp:revision>
  <cp:lastPrinted>2015-07-20T19:34:00Z</cp:lastPrinted>
  <dcterms:created xsi:type="dcterms:W3CDTF">2016-09-29T12:05:00Z</dcterms:created>
  <dcterms:modified xsi:type="dcterms:W3CDTF">2017-02-07T03:30:00Z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